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B0187F" w:rsidRDefault="00115035" w:rsidP="00B0187F">
      <w:pPr>
        <w:jc w:val="center"/>
        <w:rPr>
          <w:lang w:val="en-GB"/>
        </w:rPr>
      </w:pPr>
      <w:bookmarkStart w:id="0" w:name="_GoBack"/>
      <w:bookmarkEnd w:id="0"/>
    </w:p>
    <w:p w:rsidR="00E93FC7" w:rsidRPr="00B0187F" w:rsidRDefault="00E93FC7" w:rsidP="00B0187F">
      <w:pPr>
        <w:jc w:val="center"/>
        <w:rPr>
          <w:sz w:val="4"/>
          <w:szCs w:val="4"/>
          <w:lang w:val="en-GB"/>
        </w:rPr>
      </w:pPr>
    </w:p>
    <w:p w:rsidR="00E93FC7" w:rsidRPr="00B0187F" w:rsidRDefault="00D362FA" w:rsidP="00B0187F">
      <w:pPr>
        <w:pStyle w:val="DecHTitle"/>
        <w:rPr>
          <w:lang w:val="en-GB"/>
        </w:rPr>
      </w:pPr>
      <w:r w:rsidRPr="00B0187F">
        <w:rPr>
          <w:szCs w:val="24"/>
          <w:lang w:val="en-GB"/>
        </w:rPr>
        <w:t>FIRST SECTION</w:t>
      </w:r>
    </w:p>
    <w:p w:rsidR="00E93FC7" w:rsidRPr="00B0187F" w:rsidRDefault="00E93FC7" w:rsidP="00B0187F">
      <w:pPr>
        <w:pStyle w:val="DecHTitle"/>
        <w:rPr>
          <w:lang w:val="en-GB"/>
        </w:rPr>
      </w:pPr>
      <w:r w:rsidRPr="00B0187F">
        <w:rPr>
          <w:lang w:val="en-GB"/>
        </w:rPr>
        <w:t>DECISION</w:t>
      </w:r>
    </w:p>
    <w:p w:rsidR="00EE3667" w:rsidRPr="00B0187F" w:rsidRDefault="00D362FA" w:rsidP="00B0187F">
      <w:pPr>
        <w:pStyle w:val="ECHRTitleCentre2"/>
        <w:rPr>
          <w:i w:val="0"/>
          <w:lang w:val="en-GB"/>
        </w:rPr>
      </w:pPr>
      <w:r w:rsidRPr="00B0187F">
        <w:rPr>
          <w:i w:val="0"/>
          <w:lang w:val="en-GB"/>
        </w:rPr>
        <w:t>Application no</w:t>
      </w:r>
      <w:r w:rsidR="00E93FC7" w:rsidRPr="00B0187F">
        <w:rPr>
          <w:i w:val="0"/>
          <w:lang w:val="en-GB"/>
        </w:rPr>
        <w:t xml:space="preserve">. </w:t>
      </w:r>
      <w:r w:rsidRPr="00B0187F">
        <w:rPr>
          <w:i w:val="0"/>
          <w:lang w:val="en-GB"/>
        </w:rPr>
        <w:t>46141/12</w:t>
      </w:r>
      <w:r w:rsidR="00E93FC7" w:rsidRPr="00B0187F">
        <w:rPr>
          <w:i w:val="0"/>
          <w:lang w:val="en-GB"/>
        </w:rPr>
        <w:br/>
      </w:r>
      <w:r w:rsidRPr="00B0187F">
        <w:rPr>
          <w:i w:val="0"/>
          <w:lang w:val="en-GB"/>
        </w:rPr>
        <w:t xml:space="preserve">Michele IZZO </w:t>
      </w:r>
      <w:r w:rsidR="00E93FC7" w:rsidRPr="00B0187F">
        <w:rPr>
          <w:i w:val="0"/>
          <w:lang w:val="en-GB"/>
        </w:rPr>
        <w:t xml:space="preserve">against </w:t>
      </w:r>
      <w:r w:rsidRPr="00B0187F">
        <w:rPr>
          <w:i w:val="0"/>
          <w:lang w:val="en-GB"/>
        </w:rPr>
        <w:t>Italy</w:t>
      </w:r>
      <w:r w:rsidRPr="00B0187F">
        <w:rPr>
          <w:i w:val="0"/>
          <w:sz w:val="20"/>
          <w:lang w:val="en-GB" w:eastAsia="en-GB"/>
        </w:rPr>
        <w:br/>
      </w:r>
      <w:r w:rsidRPr="00B0187F">
        <w:rPr>
          <w:i w:val="0"/>
          <w:lang w:val="en-GB"/>
        </w:rPr>
        <w:t>and 12 other applications</w:t>
      </w:r>
      <w:r w:rsidRPr="00B0187F">
        <w:rPr>
          <w:i w:val="0"/>
          <w:lang w:val="en-GB"/>
        </w:rPr>
        <w:br/>
        <w:t>(see list appended)</w:t>
      </w:r>
    </w:p>
    <w:p w:rsidR="00D362FA" w:rsidRPr="00B0187F" w:rsidRDefault="00D362FA" w:rsidP="00B0187F">
      <w:pPr>
        <w:pStyle w:val="ECHRPara"/>
        <w:rPr>
          <w:lang w:val="en-GB"/>
        </w:rPr>
      </w:pPr>
      <w:r w:rsidRPr="00B0187F">
        <w:rPr>
          <w:lang w:val="en-GB"/>
        </w:rPr>
        <w:t xml:space="preserve">The European Court of Human Rights (First Section), sitting on </w:t>
      </w:r>
      <w:r w:rsidR="00A9083B" w:rsidRPr="00B0187F">
        <w:rPr>
          <w:lang w:val="en-GB"/>
        </w:rPr>
        <w:t>30 May 2017</w:t>
      </w:r>
      <w:r w:rsidRPr="00B0187F">
        <w:rPr>
          <w:lang w:val="en-GB"/>
        </w:rPr>
        <w:t xml:space="preserve"> as a Chamber composed of:</w:t>
      </w:r>
    </w:p>
    <w:p w:rsidR="00D362FA" w:rsidRPr="00B0187F" w:rsidRDefault="00A9083B" w:rsidP="00B0187F">
      <w:pPr>
        <w:pStyle w:val="ECHRDecisionBody"/>
        <w:rPr>
          <w:lang w:val="en-GB"/>
        </w:rPr>
      </w:pPr>
      <w:r w:rsidRPr="00B0187F">
        <w:tab/>
        <w:t>Linos-Alexandre Sicilianos,</w:t>
      </w:r>
      <w:r w:rsidRPr="00B0187F">
        <w:rPr>
          <w:i/>
        </w:rPr>
        <w:t xml:space="preserve"> President,</w:t>
      </w:r>
      <w:r w:rsidRPr="00B0187F">
        <w:rPr>
          <w:i/>
        </w:rPr>
        <w:br/>
      </w:r>
      <w:r w:rsidRPr="00B0187F">
        <w:tab/>
        <w:t>Kristina Pardalos,</w:t>
      </w:r>
      <w:r w:rsidRPr="00B0187F">
        <w:rPr>
          <w:i/>
        </w:rPr>
        <w:br/>
      </w:r>
      <w:r w:rsidRPr="00B0187F">
        <w:tab/>
        <w:t>Guido Raimondi,</w:t>
      </w:r>
      <w:r w:rsidRPr="00B0187F">
        <w:rPr>
          <w:i/>
        </w:rPr>
        <w:br/>
      </w:r>
      <w:r w:rsidRPr="00B0187F">
        <w:tab/>
        <w:t>Krzysztof Wojtyczek,</w:t>
      </w:r>
      <w:r w:rsidRPr="00B0187F">
        <w:rPr>
          <w:i/>
        </w:rPr>
        <w:br/>
      </w:r>
      <w:r w:rsidRPr="00B0187F">
        <w:tab/>
        <w:t>Ksenija Turković,</w:t>
      </w:r>
      <w:r w:rsidRPr="00B0187F">
        <w:rPr>
          <w:i/>
        </w:rPr>
        <w:br/>
      </w:r>
      <w:r w:rsidRPr="00B0187F">
        <w:tab/>
        <w:t>Pauliine Koskelo,</w:t>
      </w:r>
      <w:r w:rsidRPr="00B0187F">
        <w:rPr>
          <w:i/>
        </w:rPr>
        <w:br/>
      </w:r>
      <w:r w:rsidRPr="00B0187F">
        <w:tab/>
        <w:t>Jovan Ilievski,</w:t>
      </w:r>
      <w:r w:rsidRPr="00B0187F">
        <w:rPr>
          <w:i/>
        </w:rPr>
        <w:t xml:space="preserve"> judges,</w:t>
      </w:r>
      <w:r w:rsidRPr="00B0187F">
        <w:rPr>
          <w:i/>
        </w:rPr>
        <w:br/>
      </w:r>
      <w:r w:rsidR="00D362FA" w:rsidRPr="00B0187F">
        <w:rPr>
          <w:lang w:val="en-GB"/>
        </w:rPr>
        <w:t xml:space="preserve">and Abel Campos, </w:t>
      </w:r>
      <w:r w:rsidRPr="00B0187F">
        <w:rPr>
          <w:i/>
          <w:iCs/>
          <w:lang w:val="en-GB"/>
        </w:rPr>
        <w:t>Section R</w:t>
      </w:r>
      <w:r w:rsidR="009F490F" w:rsidRPr="00B0187F">
        <w:rPr>
          <w:i/>
          <w:iCs/>
          <w:lang w:val="en-GB"/>
        </w:rPr>
        <w:t>e</w:t>
      </w:r>
      <w:r w:rsidR="00D362FA" w:rsidRPr="00B0187F">
        <w:rPr>
          <w:i/>
          <w:iCs/>
          <w:lang w:val="en-GB"/>
        </w:rPr>
        <w:t>gistrar</w:t>
      </w:r>
      <w:r w:rsidR="00D362FA" w:rsidRPr="00B0187F">
        <w:rPr>
          <w:i/>
          <w:lang w:val="en-GB"/>
        </w:rPr>
        <w:t>,</w:t>
      </w:r>
    </w:p>
    <w:p w:rsidR="00D362FA" w:rsidRPr="00B0187F" w:rsidRDefault="00D362FA" w:rsidP="00B0187F">
      <w:pPr>
        <w:pStyle w:val="ECHRPara"/>
        <w:rPr>
          <w:lang w:val="en-GB"/>
        </w:rPr>
      </w:pPr>
      <w:r w:rsidRPr="00B0187F">
        <w:rPr>
          <w:lang w:val="en-GB"/>
        </w:rPr>
        <w:t xml:space="preserve">Having regard to the above applications lodged on </w:t>
      </w:r>
      <w:r w:rsidRPr="00B0187F">
        <w:rPr>
          <w:rFonts w:eastAsia="PMingLiU"/>
          <w:lang w:val="en-GB"/>
        </w:rPr>
        <w:t>the various dates indicated in the appended table</w:t>
      </w:r>
      <w:r w:rsidRPr="00B0187F">
        <w:rPr>
          <w:lang w:val="en-GB"/>
        </w:rPr>
        <w:t>,</w:t>
      </w:r>
    </w:p>
    <w:p w:rsidR="00D362FA" w:rsidRPr="00B0187F" w:rsidRDefault="00D362FA" w:rsidP="00B0187F">
      <w:pPr>
        <w:pStyle w:val="ECHRPara"/>
        <w:rPr>
          <w:lang w:val="en-GB"/>
        </w:rPr>
      </w:pPr>
      <w:r w:rsidRPr="00B0187F">
        <w:rPr>
          <w:lang w:val="en-GB"/>
        </w:rPr>
        <w:t>Having deliberated, decides as follows:</w:t>
      </w:r>
    </w:p>
    <w:p w:rsidR="00D362FA" w:rsidRPr="00B0187F" w:rsidRDefault="00D362FA" w:rsidP="00B0187F">
      <w:pPr>
        <w:pStyle w:val="ECHRTitle1"/>
        <w:rPr>
          <w:lang w:val="en-GB"/>
        </w:rPr>
      </w:pPr>
      <w:r w:rsidRPr="00B0187F">
        <w:rPr>
          <w:lang w:val="en-GB"/>
        </w:rPr>
        <w:t>THE FACTS</w:t>
      </w:r>
    </w:p>
    <w:p w:rsidR="00D362FA" w:rsidRPr="00B0187F" w:rsidRDefault="00D362FA" w:rsidP="00B0187F">
      <w:pPr>
        <w:pStyle w:val="ECHRHeading2"/>
      </w:pPr>
      <w:r w:rsidRPr="00B0187F">
        <w:t>A.  The circumstances of the cases</w:t>
      </w:r>
    </w:p>
    <w:p w:rsidR="00D362FA" w:rsidRPr="00B0187F" w:rsidRDefault="00D362FA" w:rsidP="00B0187F">
      <w:pPr>
        <w:pStyle w:val="ECHRPara"/>
        <w:rPr>
          <w:lang w:val="en-GB"/>
        </w:rPr>
      </w:pPr>
      <w:r w:rsidRPr="00B0187F">
        <w:rPr>
          <w:lang w:val="en-GB"/>
        </w:rPr>
        <w:t>1.  The applicants are lawyers by profession and acted as counsel for a number of individuals who instituted proceedings before domestic courts under Law no. 89 of 24 March 2001 (the “Pinto Act”). When lodging their clients</w:t>
      </w:r>
      <w:r w:rsidR="00B0187F" w:rsidRPr="00B0187F">
        <w:rPr>
          <w:lang w:val="en-GB"/>
        </w:rPr>
        <w:t>’</w:t>
      </w:r>
      <w:r w:rsidRPr="00B0187F">
        <w:rPr>
          <w:lang w:val="en-GB"/>
        </w:rPr>
        <w:t xml:space="preserve"> “Pinto” applications, they declared that they had advanced all the requisite court costs on behalf of the plaintiffs, and had not received payment of their fees. They therefore asked the respective courts to award the legal costs </w:t>
      </w:r>
      <w:r w:rsidRPr="00B0187F">
        <w:rPr>
          <w:rFonts w:cstheme="minorHAnsi"/>
          <w:lang w:val="en-GB"/>
        </w:rPr>
        <w:t xml:space="preserve">‒ </w:t>
      </w:r>
      <w:r w:rsidRPr="00B0187F">
        <w:rPr>
          <w:lang w:val="en-GB"/>
        </w:rPr>
        <w:t xml:space="preserve">including their fees </w:t>
      </w:r>
      <w:r w:rsidRPr="00B0187F">
        <w:rPr>
          <w:rFonts w:cstheme="minorHAnsi"/>
          <w:lang w:val="en-GB"/>
        </w:rPr>
        <w:t>‒</w:t>
      </w:r>
      <w:r w:rsidRPr="00B0187F">
        <w:rPr>
          <w:lang w:val="en-GB"/>
        </w:rPr>
        <w:t xml:space="preserve"> directly to them pursuant to </w:t>
      </w:r>
      <w:r w:rsidRPr="00B0187F">
        <w:rPr>
          <w:lang w:val="en-GB"/>
        </w:rPr>
        <w:lastRenderedPageBreak/>
        <w:t>Section</w:t>
      </w:r>
      <w:r w:rsidR="00E54165" w:rsidRPr="00B0187F">
        <w:rPr>
          <w:lang w:val="en-GB"/>
        </w:rPr>
        <w:t> </w:t>
      </w:r>
      <w:r w:rsidRPr="00B0187F">
        <w:rPr>
          <w:lang w:val="en-GB"/>
        </w:rPr>
        <w:t>93 of the Code of Civil Procedure (see paragraph 6 below, under “Relevant domestic law”).</w:t>
      </w:r>
    </w:p>
    <w:p w:rsidR="00D362FA" w:rsidRPr="00B0187F" w:rsidRDefault="00D362FA" w:rsidP="00B0187F">
      <w:pPr>
        <w:pStyle w:val="ECHRPara"/>
        <w:rPr>
          <w:lang w:val="en-GB"/>
        </w:rPr>
      </w:pPr>
      <w:r w:rsidRPr="00B0187F">
        <w:rPr>
          <w:lang w:val="en-GB"/>
        </w:rPr>
        <w:t>2.  In judgments published between 17 May 2008 and 4 May 2014 the domestic courts concerned found in the plaintiffs</w:t>
      </w:r>
      <w:r w:rsidR="00B0187F" w:rsidRPr="00B0187F">
        <w:rPr>
          <w:lang w:val="en-GB"/>
        </w:rPr>
        <w:t>’</w:t>
      </w:r>
      <w:r w:rsidRPr="00B0187F">
        <w:rPr>
          <w:lang w:val="en-GB"/>
        </w:rPr>
        <w:t xml:space="preserve"> favour, and awarded the applicants sums varying between 150 and 2,180 euros (EUR) as direct awards of the legal costs.</w:t>
      </w:r>
    </w:p>
    <w:p w:rsidR="00D362FA" w:rsidRPr="00B0187F" w:rsidRDefault="00D362FA" w:rsidP="00B0187F">
      <w:pPr>
        <w:pStyle w:val="ECHRPara"/>
        <w:rPr>
          <w:lang w:val="en-GB"/>
        </w:rPr>
      </w:pPr>
      <w:r w:rsidRPr="00B0187F">
        <w:rPr>
          <w:lang w:val="en-GB"/>
        </w:rPr>
        <w:t>3.  The sums were paid following delays ranging from a minimum of one year and four months to a maximum of one year and eleven months after the “Pinto” judgments had become final.</w:t>
      </w:r>
    </w:p>
    <w:p w:rsidR="00D362FA" w:rsidRPr="00B0187F" w:rsidRDefault="00D362FA" w:rsidP="00B0187F">
      <w:pPr>
        <w:pStyle w:val="ECHRPara"/>
        <w:rPr>
          <w:lang w:val="en-GB"/>
        </w:rPr>
      </w:pPr>
      <w:r w:rsidRPr="00B0187F">
        <w:rPr>
          <w:lang w:val="en-GB"/>
        </w:rPr>
        <w:t>4.  The applicants</w:t>
      </w:r>
      <w:r w:rsidR="00B0187F" w:rsidRPr="00B0187F">
        <w:rPr>
          <w:lang w:val="en-GB"/>
        </w:rPr>
        <w:t>’</w:t>
      </w:r>
      <w:r w:rsidRPr="00B0187F">
        <w:rPr>
          <w:lang w:val="en-GB"/>
        </w:rPr>
        <w:t xml:space="preserve"> details, including the reference numbers of the judgments in their favour, together with the date of enforcement, are indicated in the table attached</w:t>
      </w:r>
      <w:r w:rsidR="00E54165" w:rsidRPr="00B0187F">
        <w:rPr>
          <w:lang w:val="en-GB"/>
        </w:rPr>
        <w:t xml:space="preserve"> </w:t>
      </w:r>
      <w:r w:rsidRPr="00B0187F">
        <w:rPr>
          <w:lang w:val="en-GB"/>
        </w:rPr>
        <w:t>as an appendix to this</w:t>
      </w:r>
      <w:r w:rsidR="00E54165" w:rsidRPr="00B0187F">
        <w:rPr>
          <w:lang w:val="en-GB"/>
        </w:rPr>
        <w:t xml:space="preserve"> </w:t>
      </w:r>
      <w:r w:rsidRPr="00B0187F">
        <w:rPr>
          <w:lang w:val="en-GB"/>
        </w:rPr>
        <w:t>decision.</w:t>
      </w:r>
    </w:p>
    <w:p w:rsidR="00D362FA" w:rsidRPr="00B0187F" w:rsidRDefault="00D362FA" w:rsidP="00B0187F">
      <w:pPr>
        <w:pStyle w:val="ECHRHeading2"/>
      </w:pPr>
      <w:r w:rsidRPr="00B0187F">
        <w:t>B.  Relevant domestic law</w:t>
      </w:r>
    </w:p>
    <w:p w:rsidR="00D362FA" w:rsidRPr="00B0187F" w:rsidRDefault="00D362FA" w:rsidP="00B0187F">
      <w:pPr>
        <w:pStyle w:val="ECHRHeading3"/>
      </w:pPr>
      <w:r w:rsidRPr="00B0187F">
        <w:t>1.  Code of Civil Procedure</w:t>
      </w:r>
    </w:p>
    <w:p w:rsidR="00D362FA" w:rsidRPr="00B0187F" w:rsidRDefault="00D362FA" w:rsidP="00B0187F">
      <w:pPr>
        <w:pStyle w:val="ECHRPara"/>
        <w:rPr>
          <w:lang w:val="en-GB"/>
        </w:rPr>
      </w:pPr>
      <w:r w:rsidRPr="00B0187F">
        <w:rPr>
          <w:lang w:val="en-GB"/>
        </w:rPr>
        <w:t>5.  Under Section 91 of the Code of Civil Procedure, the unsuccessful party in proceedings bears all the legal costs, including the lawyer</w:t>
      </w:r>
      <w:r w:rsidR="00B0187F" w:rsidRPr="00B0187F">
        <w:rPr>
          <w:lang w:val="en-GB"/>
        </w:rPr>
        <w:t>’</w:t>
      </w:r>
      <w:r w:rsidRPr="00B0187F">
        <w:rPr>
          <w:lang w:val="en-GB"/>
        </w:rPr>
        <w:t>s fees and costs and expenses incurred by the other party or parties.</w:t>
      </w:r>
    </w:p>
    <w:p w:rsidR="00D362FA" w:rsidRPr="00B0187F" w:rsidRDefault="00D362FA" w:rsidP="00B0187F">
      <w:pPr>
        <w:pStyle w:val="ECHRPara"/>
        <w:rPr>
          <w:strike/>
          <w:lang w:val="en-GB"/>
        </w:rPr>
      </w:pPr>
      <w:bookmarkStart w:id="1" w:name="DomesticLawSection93"/>
      <w:r w:rsidRPr="00B0187F">
        <w:rPr>
          <w:lang w:val="en-GB"/>
        </w:rPr>
        <w:t>6</w:t>
      </w:r>
      <w:bookmarkEnd w:id="1"/>
      <w:r w:rsidRPr="00B0187F">
        <w:rPr>
          <w:lang w:val="en-GB"/>
        </w:rPr>
        <w:t>.  Under Section 93 of the Code of Civil Procedure, a lawyer may declare having advanced the costs and expenses of the proceedings on behalf of his client and not having received payment of his fees. If his client is successful and is thus entitled to legal costs under Section 91, the lawyer can request that the domestic court award such costs directly to him (</w:t>
      </w:r>
      <w:r w:rsidRPr="00B0187F">
        <w:rPr>
          <w:i/>
          <w:iCs/>
          <w:lang w:val="en-GB"/>
        </w:rPr>
        <w:t>distrazione delle spese</w:t>
      </w:r>
      <w:r w:rsidRPr="00B0187F">
        <w:rPr>
          <w:lang w:val="en-GB"/>
        </w:rPr>
        <w:t>). Section 93 thus grants special protection to the lawyer, who enters into a direct relationship with the opposing party and thereby obtains an autonomous right to payment of the legal costs. He can subsequently autonomously bring an action against the unsuccessful party in order to recover his fees, costs and expenses. The lawyer</w:t>
      </w:r>
      <w:r w:rsidR="00B0187F" w:rsidRPr="00B0187F">
        <w:rPr>
          <w:lang w:val="en-GB"/>
        </w:rPr>
        <w:t>’</w:t>
      </w:r>
      <w:r w:rsidRPr="00B0187F">
        <w:rPr>
          <w:lang w:val="en-GB"/>
        </w:rPr>
        <w:t>s right to claim his fees from his client, however, continues to exist.</w:t>
      </w:r>
    </w:p>
    <w:p w:rsidR="00D362FA" w:rsidRPr="00B0187F" w:rsidRDefault="00D362FA" w:rsidP="00B0187F">
      <w:pPr>
        <w:pStyle w:val="ECHRHeading3"/>
      </w:pPr>
      <w:r w:rsidRPr="00B0187F">
        <w:t>2.  Law no. 89 of 24 March 2001 (the “Pinto Act”)</w:t>
      </w:r>
    </w:p>
    <w:p w:rsidR="00D362FA" w:rsidRPr="00B0187F" w:rsidRDefault="00D362FA" w:rsidP="00B0187F">
      <w:pPr>
        <w:pStyle w:val="ECHRPara"/>
        <w:rPr>
          <w:lang w:val="en-GB"/>
        </w:rPr>
      </w:pPr>
      <w:r w:rsidRPr="00B0187F">
        <w:rPr>
          <w:lang w:val="en-GB"/>
        </w:rPr>
        <w:t xml:space="preserve">7.  The domestic law and practice relating to law no. 89 of 24 March 2001 is set out in the judgment in </w:t>
      </w:r>
      <w:r w:rsidRPr="00B0187F">
        <w:rPr>
          <w:i/>
          <w:lang w:val="en-GB"/>
        </w:rPr>
        <w:t xml:space="preserve">Cocchiarella v. </w:t>
      </w:r>
      <w:r w:rsidRPr="00B0187F">
        <w:rPr>
          <w:i/>
          <w:iCs/>
          <w:lang w:val="en-GB"/>
        </w:rPr>
        <w:t>Italy</w:t>
      </w:r>
      <w:r w:rsidRPr="00B0187F">
        <w:rPr>
          <w:iCs/>
          <w:lang w:val="en-GB"/>
        </w:rPr>
        <w:t xml:space="preserve"> (</w:t>
      </w:r>
      <w:r w:rsidRPr="00B0187F">
        <w:rPr>
          <w:lang w:val="en-GB"/>
        </w:rPr>
        <w:t>[GC], no. 64886/01, ECHR 2006</w:t>
      </w:r>
      <w:r w:rsidRPr="00B0187F">
        <w:rPr>
          <w:lang w:val="en-GB"/>
        </w:rPr>
        <w:noBreakHyphen/>
        <w:t>V). The so-called “Pinto Act” introduced into the Italian legal system a compensatory remedy in respect of unreasonably lengthy legal proceedings.</w:t>
      </w:r>
    </w:p>
    <w:p w:rsidR="00D362FA" w:rsidRPr="00B0187F" w:rsidRDefault="00D362FA" w:rsidP="00B0187F">
      <w:pPr>
        <w:pStyle w:val="ECHRHeading2"/>
        <w:rPr>
          <w:lang w:val="en-GB"/>
        </w:rPr>
      </w:pPr>
      <w:r w:rsidRPr="00B0187F">
        <w:rPr>
          <w:lang w:val="en-GB"/>
        </w:rPr>
        <w:t>C.  The Committee of Ministers</w:t>
      </w:r>
      <w:r w:rsidR="00B0187F" w:rsidRPr="00B0187F">
        <w:rPr>
          <w:lang w:val="en-GB"/>
        </w:rPr>
        <w:t>’</w:t>
      </w:r>
      <w:r w:rsidRPr="00B0187F">
        <w:rPr>
          <w:lang w:val="en-GB"/>
        </w:rPr>
        <w:t xml:space="preserve"> decision of 24 September 2015</w:t>
      </w:r>
    </w:p>
    <w:p w:rsidR="00D362FA" w:rsidRPr="00B0187F" w:rsidRDefault="00D362FA" w:rsidP="00B0187F">
      <w:pPr>
        <w:pStyle w:val="ECHRPara"/>
        <w:rPr>
          <w:lang w:val="en-GB"/>
        </w:rPr>
      </w:pPr>
      <w:bookmarkStart w:id="2" w:name="CM_doc"/>
      <w:r w:rsidRPr="00B0187F">
        <w:rPr>
          <w:lang w:val="en-GB"/>
        </w:rPr>
        <w:t>8</w:t>
      </w:r>
      <w:bookmarkEnd w:id="2"/>
      <w:r w:rsidRPr="00B0187F">
        <w:rPr>
          <w:lang w:val="en-GB"/>
        </w:rPr>
        <w:t>.  The Committee of Ministers</w:t>
      </w:r>
      <w:r w:rsidR="00B0187F" w:rsidRPr="00B0187F">
        <w:rPr>
          <w:lang w:val="en-GB"/>
        </w:rPr>
        <w:t>’</w:t>
      </w:r>
      <w:r w:rsidRPr="00B0187F">
        <w:rPr>
          <w:lang w:val="en-GB"/>
        </w:rPr>
        <w:t xml:space="preserve"> decision (CM/Del/Dec(2015)1236/10), adopted on 24 September 2015 at the 1236th meeting of the Ministers</w:t>
      </w:r>
      <w:r w:rsidR="00B0187F" w:rsidRPr="00B0187F">
        <w:rPr>
          <w:lang w:val="en-GB"/>
        </w:rPr>
        <w:t>’</w:t>
      </w:r>
      <w:r w:rsidRPr="00B0187F">
        <w:rPr>
          <w:lang w:val="en-GB"/>
        </w:rPr>
        <w:t xml:space="preserve"> Deputies, reads, in so far as relevant, as follows:</w:t>
      </w:r>
    </w:p>
    <w:p w:rsidR="00D362FA" w:rsidRPr="00B0187F" w:rsidRDefault="00D362FA" w:rsidP="00B0187F">
      <w:pPr>
        <w:pStyle w:val="ECHRParaQuote"/>
        <w:rPr>
          <w:lang w:val="en-GB"/>
        </w:rPr>
      </w:pPr>
      <w:r w:rsidRPr="00B0187F">
        <w:rPr>
          <w:lang w:val="en-GB"/>
        </w:rPr>
        <w:lastRenderedPageBreak/>
        <w:t>“The Deputies</w:t>
      </w:r>
    </w:p>
    <w:p w:rsidR="00D362FA" w:rsidRPr="00B0187F" w:rsidRDefault="00D362FA" w:rsidP="00B0187F">
      <w:pPr>
        <w:pStyle w:val="ECHRParaQuote"/>
        <w:rPr>
          <w:lang w:val="en-GB"/>
        </w:rPr>
      </w:pPr>
      <w:r w:rsidRPr="00B0187F">
        <w:rPr>
          <w:lang w:val="en-GB"/>
        </w:rPr>
        <w:t>...</w:t>
      </w:r>
    </w:p>
    <w:p w:rsidR="00D362FA" w:rsidRPr="00B0187F" w:rsidRDefault="00D362FA" w:rsidP="00B0187F">
      <w:pPr>
        <w:pStyle w:val="ECHRParaQuote"/>
        <w:rPr>
          <w:lang w:val="en-GB"/>
        </w:rPr>
      </w:pPr>
      <w:r w:rsidRPr="00B0187F">
        <w:rPr>
          <w:i/>
          <w:iCs/>
          <w:lang w:val="en-GB"/>
        </w:rPr>
        <w:t>As regards the delay in the payment of the “Pinto” compensation</w:t>
      </w:r>
    </w:p>
    <w:p w:rsidR="00D362FA" w:rsidRPr="00B0187F" w:rsidRDefault="00D362FA" w:rsidP="00B0187F">
      <w:pPr>
        <w:pStyle w:val="ECHRParaQuote"/>
        <w:rPr>
          <w:lang w:val="en-GB"/>
        </w:rPr>
      </w:pPr>
      <w:r w:rsidRPr="00B0187F">
        <w:rPr>
          <w:lang w:val="en-GB"/>
        </w:rPr>
        <w:t>2.  noted with interest the measures adopted by the Italian authorities, which include allocating substantial extra funds to the Ministry of Justice for the payment of compensation under the “Pinto” Law in 2015-2017, and providing additional human resources; noted with satisfaction that these measures are such as to stop the influx of new repetitive applications before the European Court concerning delays in the payment of such compensation”.</w:t>
      </w:r>
    </w:p>
    <w:p w:rsidR="00D362FA" w:rsidRPr="00B0187F" w:rsidRDefault="00D362FA" w:rsidP="00B0187F">
      <w:pPr>
        <w:pStyle w:val="ECHRTitle1"/>
      </w:pPr>
      <w:r w:rsidRPr="00B0187F">
        <w:t>COMPLAINTS</w:t>
      </w:r>
    </w:p>
    <w:p w:rsidR="00D362FA" w:rsidRPr="00B0187F" w:rsidRDefault="00D362FA" w:rsidP="00B0187F">
      <w:pPr>
        <w:pStyle w:val="ECHRPara"/>
        <w:rPr>
          <w:lang w:val="en-GB"/>
        </w:rPr>
      </w:pPr>
      <w:r w:rsidRPr="00B0187F">
        <w:rPr>
          <w:lang w:val="en-GB"/>
        </w:rPr>
        <w:t>9.  The applicants complain that the authorities</w:t>
      </w:r>
      <w:r w:rsidR="00B0187F" w:rsidRPr="00B0187F">
        <w:rPr>
          <w:lang w:val="en-GB"/>
        </w:rPr>
        <w:t>’</w:t>
      </w:r>
      <w:r w:rsidRPr="00B0187F">
        <w:rPr>
          <w:lang w:val="en-GB"/>
        </w:rPr>
        <w:t xml:space="preserve"> prolonged failure to comply with the binding and enforceable “Pinto” judgments violated their right to a court under Article 6 of the Convention and their right to the peaceful enjoyment of their possessions under Article 1 of Protocol No. 1 which, in so far as relevant, read as follows:</w:t>
      </w:r>
    </w:p>
    <w:p w:rsidR="00D362FA" w:rsidRPr="00B0187F" w:rsidRDefault="00D362FA" w:rsidP="00B0187F">
      <w:pPr>
        <w:pStyle w:val="ECHRTitleCentre3"/>
        <w:rPr>
          <w:lang w:val="en-GB"/>
        </w:rPr>
      </w:pPr>
      <w:r w:rsidRPr="00B0187F">
        <w:rPr>
          <w:lang w:val="en-GB"/>
        </w:rPr>
        <w:t>Article 6 § 1</w:t>
      </w:r>
    </w:p>
    <w:p w:rsidR="00D362FA" w:rsidRPr="00B0187F" w:rsidRDefault="00D362FA" w:rsidP="00B0187F">
      <w:pPr>
        <w:pStyle w:val="ECHRParaQuote"/>
        <w:rPr>
          <w:lang w:val="en-GB"/>
        </w:rPr>
      </w:pPr>
      <w:r w:rsidRPr="00B0187F">
        <w:rPr>
          <w:lang w:val="en-GB"/>
        </w:rPr>
        <w:t>“In the determination of his civil rights and obligations ... everyone is entitled to a ... hearing within a reasonable time by [a] ... tribunal ...”;</w:t>
      </w:r>
    </w:p>
    <w:p w:rsidR="00D362FA" w:rsidRPr="00B0187F" w:rsidRDefault="00D362FA" w:rsidP="00B0187F">
      <w:pPr>
        <w:pStyle w:val="ECHRTitleCentre3"/>
        <w:rPr>
          <w:lang w:val="en-GB"/>
        </w:rPr>
      </w:pPr>
      <w:r w:rsidRPr="00B0187F">
        <w:rPr>
          <w:lang w:val="en-GB"/>
        </w:rPr>
        <w:t>Article 1 of Protocol No. 1</w:t>
      </w:r>
    </w:p>
    <w:p w:rsidR="00D362FA" w:rsidRPr="00B0187F" w:rsidRDefault="00D362FA" w:rsidP="00B0187F">
      <w:pPr>
        <w:pStyle w:val="ECHRParaQuote"/>
      </w:pPr>
      <w:r w:rsidRPr="00B0187F">
        <w:rPr>
          <w:lang w:val="en-GB"/>
        </w:rPr>
        <w:t>“Every natural or legal person is entitled to the peaceful enjoyment of his possessions. No one shall be deprived of his possessions except in the public interest and subject to the conditions provided for by law and by the general principles of international law. ...”</w:t>
      </w:r>
    </w:p>
    <w:p w:rsidR="00D362FA" w:rsidRPr="00B0187F" w:rsidRDefault="00D362FA" w:rsidP="00B0187F">
      <w:pPr>
        <w:pStyle w:val="ECHRPara"/>
        <w:rPr>
          <w:lang w:val="en-GB"/>
        </w:rPr>
      </w:pPr>
      <w:r w:rsidRPr="00B0187F">
        <w:rPr>
          <w:lang w:val="en-GB"/>
        </w:rPr>
        <w:t>10.  The applicants referred to the Court</w:t>
      </w:r>
      <w:r w:rsidR="00B0187F" w:rsidRPr="00B0187F">
        <w:rPr>
          <w:lang w:val="en-GB"/>
        </w:rPr>
        <w:t>’</w:t>
      </w:r>
      <w:r w:rsidRPr="00B0187F">
        <w:rPr>
          <w:lang w:val="en-GB"/>
        </w:rPr>
        <w:t>s judgment</w:t>
      </w:r>
      <w:r w:rsidRPr="00B0187F">
        <w:rPr>
          <w:i/>
          <w:lang w:val="en-GB"/>
        </w:rPr>
        <w:t xml:space="preserve"> </w:t>
      </w:r>
      <w:r w:rsidRPr="00B0187F">
        <w:rPr>
          <w:lang w:val="en-GB"/>
        </w:rPr>
        <w:t xml:space="preserve">in </w:t>
      </w:r>
      <w:r w:rsidRPr="00B0187F">
        <w:rPr>
          <w:i/>
          <w:lang w:val="en-GB"/>
        </w:rPr>
        <w:t>Gaglione and Others v. Italy</w:t>
      </w:r>
      <w:r w:rsidRPr="00B0187F">
        <w:rPr>
          <w:lang w:val="en-GB"/>
        </w:rPr>
        <w:t xml:space="preserve"> (nos. 45867/07 and others, 21 December 2010), and argued that the sum awarded them by the domestic courts should have been paid promptly.</w:t>
      </w:r>
    </w:p>
    <w:p w:rsidR="00D362FA" w:rsidRPr="00B0187F" w:rsidRDefault="00D362FA" w:rsidP="00B0187F">
      <w:pPr>
        <w:pStyle w:val="ECHRTitle1"/>
        <w:rPr>
          <w:lang w:val="en-GB"/>
        </w:rPr>
      </w:pPr>
      <w:r w:rsidRPr="00B0187F">
        <w:rPr>
          <w:lang w:val="en-GB"/>
        </w:rPr>
        <w:t>THE LAW</w:t>
      </w:r>
    </w:p>
    <w:p w:rsidR="00D362FA" w:rsidRPr="00B0187F" w:rsidRDefault="00D362FA" w:rsidP="00B0187F">
      <w:pPr>
        <w:pStyle w:val="ECHRHeading2"/>
      </w:pPr>
      <w:r w:rsidRPr="00B0187F">
        <w:t>A.  Joinder of the applications</w:t>
      </w:r>
    </w:p>
    <w:p w:rsidR="00D362FA" w:rsidRPr="00B0187F" w:rsidRDefault="00D362FA" w:rsidP="00B0187F">
      <w:pPr>
        <w:pStyle w:val="ECHRPara"/>
        <w:rPr>
          <w:lang w:val="en-GB"/>
        </w:rPr>
      </w:pPr>
      <w:r w:rsidRPr="00B0187F">
        <w:rPr>
          <w:lang w:val="en-GB"/>
        </w:rPr>
        <w:t>11.  The Court considers that, in accordance with Rule 42 § 1 of the Rules of Court, the applications should be joined, given their similar factual and legal background.</w:t>
      </w:r>
    </w:p>
    <w:p w:rsidR="00D362FA" w:rsidRPr="00B0187F" w:rsidRDefault="00D362FA" w:rsidP="00B0187F">
      <w:pPr>
        <w:pStyle w:val="ECHRHeading2"/>
      </w:pPr>
      <w:r w:rsidRPr="00B0187F">
        <w:lastRenderedPageBreak/>
        <w:t>B.  General principles</w:t>
      </w:r>
    </w:p>
    <w:p w:rsidR="00D362FA" w:rsidRPr="00B0187F" w:rsidRDefault="00D362FA" w:rsidP="00B0187F">
      <w:pPr>
        <w:pStyle w:val="ECHRPara"/>
        <w:rPr>
          <w:lang w:val="en-GB"/>
        </w:rPr>
      </w:pPr>
      <w:bookmarkStart w:id="3" w:name="General_Princ_1"/>
      <w:bookmarkStart w:id="4" w:name="General_Princ_Applic_Art_6"/>
      <w:r w:rsidRPr="00B0187F">
        <w:rPr>
          <w:lang w:val="en-GB"/>
        </w:rPr>
        <w:t>12</w:t>
      </w:r>
      <w:bookmarkEnd w:id="3"/>
      <w:bookmarkEnd w:id="4"/>
      <w:r w:rsidRPr="00B0187F">
        <w:rPr>
          <w:lang w:val="en-GB"/>
        </w:rPr>
        <w:t>.  </w:t>
      </w:r>
      <w:r w:rsidRPr="00B0187F">
        <w:t xml:space="preserve"> T</w:t>
      </w:r>
      <w:r w:rsidRPr="00B0187F">
        <w:rPr>
          <w:lang w:val="en-GB"/>
        </w:rPr>
        <w:t>he Court reaffirms that the right to a court protected by Article 6 of the Convention would be illusory if a Contracting State</w:t>
      </w:r>
      <w:r w:rsidR="00B0187F" w:rsidRPr="00B0187F">
        <w:rPr>
          <w:lang w:val="en-GB"/>
        </w:rPr>
        <w:t>’</w:t>
      </w:r>
      <w:r w:rsidRPr="00B0187F">
        <w:rPr>
          <w:lang w:val="en-GB"/>
        </w:rPr>
        <w:t xml:space="preserve">s domestic legal system allowed a final, binding judicial decision to remain inoperative. Execution of a judgment given by any court must therefore be regarded as an integral part of the “trial” for the purposes of Article 6 (see </w:t>
      </w:r>
      <w:r w:rsidRPr="00B0187F">
        <w:rPr>
          <w:i/>
          <w:lang w:val="en-GB"/>
        </w:rPr>
        <w:t>Hornsby v. Greece</w:t>
      </w:r>
      <w:r w:rsidRPr="00B0187F">
        <w:rPr>
          <w:lang w:val="en-GB"/>
        </w:rPr>
        <w:t>, 19 March 1997, § 40, Reports of Judgments and Decisions 1997</w:t>
      </w:r>
      <w:r w:rsidRPr="00B0187F">
        <w:rPr>
          <w:lang w:val="en-GB"/>
        </w:rPr>
        <w:noBreakHyphen/>
        <w:t>II).</w:t>
      </w:r>
    </w:p>
    <w:p w:rsidR="00D362FA" w:rsidRPr="00B0187F" w:rsidRDefault="00D362FA" w:rsidP="00B0187F">
      <w:pPr>
        <w:pStyle w:val="ECHRPara"/>
        <w:rPr>
          <w:lang w:val="en-GB"/>
        </w:rPr>
      </w:pPr>
      <w:bookmarkStart w:id="5" w:name="General_Princ_2"/>
      <w:r w:rsidRPr="00B0187F">
        <w:rPr>
          <w:lang w:val="en-GB"/>
        </w:rPr>
        <w:t>13</w:t>
      </w:r>
      <w:bookmarkEnd w:id="5"/>
      <w:r w:rsidRPr="00B0187F">
        <w:rPr>
          <w:lang w:val="en-GB"/>
        </w:rPr>
        <w:t xml:space="preserve">.  A delay in the execution of a judgment may be justified in particular circumstances. But the delay may not be such as to impair the essence of the right protected under Article 6 § 1 (see </w:t>
      </w:r>
      <w:r w:rsidRPr="00B0187F">
        <w:rPr>
          <w:i/>
          <w:lang w:val="en-GB"/>
        </w:rPr>
        <w:t>Burdov v. Russia</w:t>
      </w:r>
      <w:r w:rsidRPr="00B0187F">
        <w:rPr>
          <w:lang w:val="en-GB"/>
        </w:rPr>
        <w:t>, no. 59498/00, ECHR 2002</w:t>
      </w:r>
      <w:r w:rsidRPr="00B0187F">
        <w:rPr>
          <w:lang w:val="en-GB"/>
        </w:rPr>
        <w:noBreakHyphen/>
        <w:t>III). The Court reiterates that the reasonableness of any delay in enforcing a binding judgment must be assessed in the light of the circumstances of the case and that it will depend on different factors, such as the complexity of the enforcement proceedings, the applicant</w:t>
      </w:r>
      <w:r w:rsidR="00B0187F" w:rsidRPr="00B0187F">
        <w:rPr>
          <w:lang w:val="en-GB"/>
        </w:rPr>
        <w:t>’</w:t>
      </w:r>
      <w:r w:rsidRPr="00B0187F">
        <w:rPr>
          <w:lang w:val="en-GB"/>
        </w:rPr>
        <w:t xml:space="preserve">s behaviour and that of the competent authorities, the amount and nature of the court award (see </w:t>
      </w:r>
      <w:r w:rsidRPr="00B0187F">
        <w:rPr>
          <w:i/>
        </w:rPr>
        <w:t>Burdov v. Russia (no. 2)</w:t>
      </w:r>
      <w:r w:rsidRPr="00B0187F">
        <w:t xml:space="preserve">, no. </w:t>
      </w:r>
      <w:bookmarkStart w:id="6" w:name="File1"/>
      <w:r w:rsidRPr="00B0187F">
        <w:t>33509/04</w:t>
      </w:r>
      <w:bookmarkEnd w:id="6"/>
      <w:r w:rsidRPr="00B0187F">
        <w:t xml:space="preserve">, § 66, ECHR 2009, and </w:t>
      </w:r>
      <w:r w:rsidRPr="00B0187F">
        <w:rPr>
          <w:i/>
          <w:lang w:val="en-GB"/>
        </w:rPr>
        <w:t>Raylyan v. Russia</w:t>
      </w:r>
      <w:r w:rsidRPr="00B0187F">
        <w:rPr>
          <w:lang w:val="en-GB"/>
        </w:rPr>
        <w:t>, no. 22000/03, §§ 31-34, 15 February 2007) and the applicant</w:t>
      </w:r>
      <w:r w:rsidR="00B0187F" w:rsidRPr="00B0187F">
        <w:rPr>
          <w:lang w:val="en-GB"/>
        </w:rPr>
        <w:t>’</w:t>
      </w:r>
      <w:r w:rsidRPr="00B0187F">
        <w:rPr>
          <w:lang w:val="en-GB"/>
        </w:rPr>
        <w:t xml:space="preserve">s personal situation, including factors such as his age, state of health, and nature of any possible disability (see </w:t>
      </w:r>
      <w:r w:rsidRPr="00B0187F">
        <w:rPr>
          <w:i/>
          <w:lang w:val="en-GB"/>
        </w:rPr>
        <w:t>Shmalko v. Ukraine</w:t>
      </w:r>
      <w:r w:rsidRPr="00B0187F">
        <w:rPr>
          <w:lang w:val="en-GB"/>
        </w:rPr>
        <w:t xml:space="preserve">, no. 60750/00, § 44, </w:t>
      </w:r>
      <w:r w:rsidRPr="00B0187F">
        <w:rPr>
          <w:i/>
          <w:lang w:val="en-GB"/>
        </w:rPr>
        <w:t>in fine</w:t>
      </w:r>
      <w:r w:rsidRPr="00B0187F">
        <w:rPr>
          <w:lang w:val="en-GB"/>
        </w:rPr>
        <w:t>, 20 July 2004).</w:t>
      </w:r>
    </w:p>
    <w:p w:rsidR="00D362FA" w:rsidRPr="00B0187F" w:rsidRDefault="00D362FA" w:rsidP="00B0187F">
      <w:pPr>
        <w:pStyle w:val="ECHRPara"/>
        <w:rPr>
          <w:lang w:val="en-GB"/>
        </w:rPr>
      </w:pPr>
      <w:bookmarkStart w:id="7" w:name="General_Princ_3_Pinto"/>
      <w:r w:rsidRPr="00B0187F">
        <w:rPr>
          <w:lang w:val="en-GB"/>
        </w:rPr>
        <w:t>14</w:t>
      </w:r>
      <w:bookmarkEnd w:id="7"/>
      <w:r w:rsidRPr="00B0187F">
        <w:rPr>
          <w:lang w:val="en-GB"/>
        </w:rPr>
        <w:t xml:space="preserve">.  As to the execution of “Pinto” decisions, specifically, the Court points out that it has on numerous occasions adjudicated applications </w:t>
      </w:r>
      <w:r w:rsidRPr="00B0187F">
        <w:t>–</w:t>
      </w:r>
      <w:r w:rsidRPr="00B0187F">
        <w:rPr>
          <w:lang w:val="en-GB"/>
        </w:rPr>
        <w:t xml:space="preserve"> lodged by individuals who acted as plaintiffs at the domestic level </w:t>
      </w:r>
      <w:r w:rsidRPr="00B0187F">
        <w:t>–</w:t>
      </w:r>
      <w:r w:rsidRPr="00B0187F">
        <w:rPr>
          <w:lang w:val="en-GB"/>
        </w:rPr>
        <w:t xml:space="preserve"> concerning the delayed compliance with such decisions (see, among others, </w:t>
      </w:r>
      <w:r w:rsidRPr="00B0187F">
        <w:rPr>
          <w:i/>
          <w:szCs w:val="24"/>
          <w:lang w:val="en-GB"/>
        </w:rPr>
        <w:t xml:space="preserve">Cocchiarella v. </w:t>
      </w:r>
      <w:r w:rsidRPr="00B0187F">
        <w:rPr>
          <w:i/>
          <w:iCs/>
          <w:lang w:val="en-GB"/>
        </w:rPr>
        <w:t>Italy</w:t>
      </w:r>
      <w:r w:rsidRPr="00B0187F">
        <w:rPr>
          <w:iCs/>
          <w:lang w:val="en-GB"/>
        </w:rPr>
        <w:t xml:space="preserve"> </w:t>
      </w:r>
      <w:r w:rsidRPr="00B0187F">
        <w:rPr>
          <w:szCs w:val="24"/>
          <w:lang w:val="en-GB"/>
        </w:rPr>
        <w:t>[GC], no. 64886/01, ECHR 2006</w:t>
      </w:r>
      <w:r w:rsidRPr="00B0187F">
        <w:rPr>
          <w:szCs w:val="24"/>
          <w:lang w:val="en-GB"/>
        </w:rPr>
        <w:noBreakHyphen/>
        <w:t>V</w:t>
      </w:r>
      <w:r w:rsidRPr="00B0187F">
        <w:rPr>
          <w:lang w:val="en-GB"/>
        </w:rPr>
        <w:t>, and</w:t>
      </w:r>
      <w:r w:rsidRPr="00B0187F">
        <w:rPr>
          <w:i/>
          <w:lang w:val="en-GB"/>
        </w:rPr>
        <w:t xml:space="preserve"> Gaglione and Others</w:t>
      </w:r>
      <w:r w:rsidRPr="00B0187F">
        <w:rPr>
          <w:lang w:val="en-GB"/>
        </w:rPr>
        <w:t>, cited above</w:t>
      </w:r>
      <w:r w:rsidRPr="00B0187F">
        <w:rPr>
          <w:snapToGrid w:val="0"/>
          <w:szCs w:val="24"/>
          <w:lang w:val="en-GB"/>
        </w:rPr>
        <w:t xml:space="preserve">). In these judgments, the Court has found that, in the light of the particular nature of the “Pinto” remedy, </w:t>
      </w:r>
      <w:r w:rsidRPr="00B0187F">
        <w:rPr>
          <w:lang w:val="en-GB"/>
        </w:rPr>
        <w:t xml:space="preserve">decisions adopted within the framework of proceedings instituted under the Pinto Act should in principle be complied with within a particularly short time, specifically within a period not exceeding six months from the date on which the decision awarding compensation became enforceable (see </w:t>
      </w:r>
      <w:r w:rsidRPr="00B0187F">
        <w:rPr>
          <w:i/>
          <w:lang w:val="en-GB"/>
        </w:rPr>
        <w:t>Cocchiarella v. </w:t>
      </w:r>
      <w:r w:rsidRPr="00B0187F">
        <w:rPr>
          <w:i/>
          <w:iCs/>
          <w:lang w:val="en-GB"/>
        </w:rPr>
        <w:t>Italy</w:t>
      </w:r>
      <w:r w:rsidRPr="00B0187F">
        <w:rPr>
          <w:iCs/>
          <w:lang w:val="en-GB"/>
        </w:rPr>
        <w:t xml:space="preserve">, cited above, </w:t>
      </w:r>
      <w:r w:rsidRPr="00B0187F">
        <w:rPr>
          <w:lang w:val="en-GB"/>
        </w:rPr>
        <w:t xml:space="preserve">§ 89, and </w:t>
      </w:r>
      <w:r w:rsidRPr="00B0187F">
        <w:rPr>
          <w:i/>
          <w:lang w:val="en-GB"/>
        </w:rPr>
        <w:t>Gaglione and Others</w:t>
      </w:r>
      <w:r w:rsidRPr="00B0187F">
        <w:rPr>
          <w:lang w:val="en-GB"/>
        </w:rPr>
        <w:t>, cited above, § 34).</w:t>
      </w:r>
    </w:p>
    <w:p w:rsidR="00D362FA" w:rsidRPr="00B0187F" w:rsidRDefault="00D362FA" w:rsidP="00B0187F">
      <w:pPr>
        <w:pStyle w:val="ECHRHeading2"/>
      </w:pPr>
      <w:r w:rsidRPr="00B0187F">
        <w:t>C.  Application to the present case</w:t>
      </w:r>
    </w:p>
    <w:p w:rsidR="00D362FA" w:rsidRPr="00B0187F" w:rsidRDefault="00D362FA" w:rsidP="00B0187F">
      <w:pPr>
        <w:pStyle w:val="ECHRPara"/>
        <w:rPr>
          <w:lang w:val="en-GB"/>
        </w:rPr>
      </w:pPr>
      <w:r w:rsidRPr="00B0187F">
        <w:rPr>
          <w:lang w:val="en-GB"/>
        </w:rPr>
        <w:t xml:space="preserve">15.  The Court observes, at the outset, that the “Pinto” decisions at issue constituted for the applicants an “enforcement title determining civil rights” (see, </w:t>
      </w:r>
      <w:r w:rsidRPr="00B0187F">
        <w:rPr>
          <w:i/>
          <w:lang w:val="en-GB"/>
        </w:rPr>
        <w:t>mutatis mutandis</w:t>
      </w:r>
      <w:r w:rsidRPr="00B0187F">
        <w:rPr>
          <w:lang w:val="en-GB"/>
        </w:rPr>
        <w:t>,</w:t>
      </w:r>
      <w:r w:rsidRPr="00B0187F">
        <w:t xml:space="preserve"> </w:t>
      </w:r>
      <w:r w:rsidRPr="00B0187F">
        <w:rPr>
          <w:rStyle w:val="CLLItalic"/>
        </w:rPr>
        <w:t>Buj v. Croatia</w:t>
      </w:r>
      <w:r w:rsidRPr="00B0187F">
        <w:rPr>
          <w:szCs w:val="24"/>
        </w:rPr>
        <w:t xml:space="preserve">, no. 24661/02, § 19, 1 June 2006, and </w:t>
      </w:r>
      <w:r w:rsidRPr="00B0187F">
        <w:rPr>
          <w:rStyle w:val="CLLItalic"/>
        </w:rPr>
        <w:t>Estima Jorge v. Portugal</w:t>
      </w:r>
      <w:r w:rsidRPr="00B0187F">
        <w:t xml:space="preserve">, 21 April 1998, § 35, </w:t>
      </w:r>
      <w:r w:rsidRPr="00B0187F">
        <w:rPr>
          <w:rStyle w:val="CLLItalic"/>
        </w:rPr>
        <w:t>Reports of Judgments and Decisions</w:t>
      </w:r>
      <w:r w:rsidRPr="00B0187F">
        <w:t xml:space="preserve"> 1998</w:t>
      </w:r>
      <w:r w:rsidRPr="00B0187F">
        <w:noBreakHyphen/>
        <w:t>II;</w:t>
      </w:r>
      <w:r w:rsidRPr="00B0187F">
        <w:rPr>
          <w:iCs/>
        </w:rPr>
        <w:t xml:space="preserve"> see also, </w:t>
      </w:r>
      <w:r w:rsidRPr="00B0187F">
        <w:rPr>
          <w:i/>
          <w:iCs/>
        </w:rPr>
        <w:t>mutatis mutandis,</w:t>
      </w:r>
      <w:r w:rsidRPr="00B0187F">
        <w:rPr>
          <w:iCs/>
        </w:rPr>
        <w:t xml:space="preserve"> </w:t>
      </w:r>
      <w:r w:rsidRPr="00B0187F">
        <w:rPr>
          <w:i/>
          <w:iCs/>
          <w:lang w:val="en-GB"/>
        </w:rPr>
        <w:t>Scollo v. Italy</w:t>
      </w:r>
      <w:r w:rsidRPr="00B0187F">
        <w:t>, 28 September 1995, § 44, Series A no. 315</w:t>
      </w:r>
      <w:r w:rsidRPr="00B0187F">
        <w:noBreakHyphen/>
        <w:t>C) and that Article 6 is therefore applicable in the present cases.</w:t>
      </w:r>
    </w:p>
    <w:p w:rsidR="00D362FA" w:rsidRPr="00B0187F" w:rsidRDefault="00D362FA" w:rsidP="00B0187F">
      <w:pPr>
        <w:pStyle w:val="ECHRPara"/>
        <w:rPr>
          <w:lang w:val="en-GB"/>
        </w:rPr>
      </w:pPr>
      <w:r w:rsidRPr="00B0187F">
        <w:rPr>
          <w:lang w:val="en-GB"/>
        </w:rPr>
        <w:lastRenderedPageBreak/>
        <w:t>16.  The Court further notes that the present applications form part of the vast body of litigation originating from the implementation of the compensatory remedy set out in the Pinto Act, and more particularly from delays in enforcing decisions adopted within the framework of “Pinto” proceedings.</w:t>
      </w:r>
    </w:p>
    <w:p w:rsidR="00D362FA" w:rsidRPr="00B0187F" w:rsidRDefault="00D362FA" w:rsidP="00B0187F">
      <w:pPr>
        <w:pStyle w:val="ECHRPara"/>
        <w:keepNext/>
        <w:keepLines/>
        <w:rPr>
          <w:snapToGrid w:val="0"/>
          <w:lang w:val="en-GB"/>
        </w:rPr>
      </w:pPr>
      <w:r w:rsidRPr="00B0187F">
        <w:rPr>
          <w:snapToGrid w:val="0"/>
          <w:lang w:val="en-GB"/>
        </w:rPr>
        <w:t>17.  The Court</w:t>
      </w:r>
      <w:r w:rsidR="00B0187F" w:rsidRPr="00B0187F">
        <w:rPr>
          <w:snapToGrid w:val="0"/>
          <w:lang w:val="en-GB"/>
        </w:rPr>
        <w:t>’</w:t>
      </w:r>
      <w:r w:rsidRPr="00B0187F">
        <w:rPr>
          <w:snapToGrid w:val="0"/>
          <w:lang w:val="en-GB"/>
        </w:rPr>
        <w:t>s task, in the present cases, is to assess the reasonableness of the time taken to comply with the “Pinto” courts</w:t>
      </w:r>
      <w:r w:rsidR="00B0187F" w:rsidRPr="00B0187F">
        <w:rPr>
          <w:snapToGrid w:val="0"/>
          <w:lang w:val="en-GB"/>
        </w:rPr>
        <w:t>’</w:t>
      </w:r>
      <w:r w:rsidRPr="00B0187F">
        <w:rPr>
          <w:snapToGrid w:val="0"/>
          <w:lang w:val="en-GB"/>
        </w:rPr>
        <w:t xml:space="preserve"> judgments. In this connection, the Court reiterates that it has found on numerous occasions that “Pinto” decisions should in principle be complied with within a period not exceeding six months from the date on which they became final and binding (see paragraph </w:t>
      </w:r>
      <w:r w:rsidRPr="00B0187F">
        <w:rPr>
          <w:lang w:val="en-GB"/>
        </w:rPr>
        <w:t>14</w:t>
      </w:r>
      <w:r w:rsidRPr="00B0187F">
        <w:rPr>
          <w:snapToGrid w:val="0"/>
          <w:lang w:val="en-GB"/>
        </w:rPr>
        <w:t xml:space="preserve"> above).</w:t>
      </w:r>
    </w:p>
    <w:p w:rsidR="00D362FA" w:rsidRPr="00B0187F" w:rsidRDefault="00D362FA" w:rsidP="00B0187F">
      <w:pPr>
        <w:pStyle w:val="ECHRPara"/>
        <w:rPr>
          <w:snapToGrid w:val="0"/>
          <w:lang w:val="en-GB"/>
        </w:rPr>
      </w:pPr>
      <w:bookmarkStart w:id="8" w:name="NO_6MESI1"/>
      <w:r w:rsidRPr="00B0187F">
        <w:rPr>
          <w:snapToGrid w:val="0"/>
          <w:lang w:val="en-GB"/>
        </w:rPr>
        <w:t>18</w:t>
      </w:r>
      <w:bookmarkEnd w:id="8"/>
      <w:r w:rsidRPr="00B0187F">
        <w:rPr>
          <w:snapToGrid w:val="0"/>
          <w:lang w:val="en-GB"/>
        </w:rPr>
        <w:t>.  However, the Court observes that, as opposed to the</w:t>
      </w:r>
      <w:r w:rsidRPr="00B0187F">
        <w:rPr>
          <w:i/>
          <w:snapToGrid w:val="0"/>
          <w:lang w:val="en-GB"/>
        </w:rPr>
        <w:t xml:space="preserve"> Cocchiarella</w:t>
      </w:r>
      <w:r w:rsidRPr="00B0187F">
        <w:rPr>
          <w:snapToGrid w:val="0"/>
          <w:lang w:val="en-GB"/>
        </w:rPr>
        <w:t xml:space="preserve"> (cited above) and </w:t>
      </w:r>
      <w:r w:rsidRPr="00B0187F">
        <w:rPr>
          <w:i/>
          <w:snapToGrid w:val="0"/>
          <w:lang w:val="en-GB"/>
        </w:rPr>
        <w:t>Gaglione and Others</w:t>
      </w:r>
      <w:r w:rsidRPr="00B0187F">
        <w:rPr>
          <w:snapToGrid w:val="0"/>
          <w:lang w:val="en-GB"/>
        </w:rPr>
        <w:t xml:space="preserve"> (cited above) cases, the present applications were lodged not by the plaintiffs who instituted the “Pinto” proceedings but, rather, by the lawyers who represented the plaintiffs in those proceedings. Consequently, the cases at issue concern the effect of delayed compliance on the rights of such representatives.</w:t>
      </w:r>
    </w:p>
    <w:p w:rsidR="00D362FA" w:rsidRPr="00B0187F" w:rsidRDefault="00D362FA" w:rsidP="00B0187F">
      <w:pPr>
        <w:pStyle w:val="ECHRPara"/>
        <w:keepNext/>
        <w:rPr>
          <w:lang w:val="en-GB"/>
        </w:rPr>
      </w:pPr>
      <w:bookmarkStart w:id="9" w:name="NO_6MESI2"/>
      <w:r w:rsidRPr="00B0187F">
        <w:rPr>
          <w:lang w:val="en-GB"/>
        </w:rPr>
        <w:t>19</w:t>
      </w:r>
      <w:bookmarkEnd w:id="9"/>
      <w:r w:rsidRPr="00B0187F">
        <w:rPr>
          <w:lang w:val="en-GB"/>
        </w:rPr>
        <w:t xml:space="preserve">.  The Court reiterates that, in prescribing a particularly short time-limit for compliance with a “Pinto” judgment, special weight was given to the nature of such a decision and, more broadly, to the nature of the “Pinto” remedy itself. In this connection, in its judgments in </w:t>
      </w:r>
      <w:r w:rsidRPr="00B0187F">
        <w:rPr>
          <w:i/>
          <w:lang w:val="en-GB"/>
        </w:rPr>
        <w:t>Cocchiarella</w:t>
      </w:r>
      <w:r w:rsidRPr="00B0187F">
        <w:rPr>
          <w:lang w:val="en-GB"/>
        </w:rPr>
        <w:t xml:space="preserve"> (cited above, § 89) and </w:t>
      </w:r>
      <w:r w:rsidRPr="00B0187F">
        <w:rPr>
          <w:i/>
          <w:lang w:val="en-GB"/>
        </w:rPr>
        <w:t>Gaglione and Others</w:t>
      </w:r>
      <w:r w:rsidRPr="00B0187F">
        <w:rPr>
          <w:lang w:val="en-GB"/>
        </w:rPr>
        <w:t xml:space="preserve"> (cited above, § 34), the Court affirmed:</w:t>
      </w:r>
    </w:p>
    <w:p w:rsidR="00D362FA" w:rsidRPr="00B0187F" w:rsidRDefault="00D362FA" w:rsidP="00B0187F">
      <w:pPr>
        <w:pStyle w:val="JuQuotSub"/>
        <w:rPr>
          <w:lang w:val="en-GB"/>
        </w:rPr>
      </w:pPr>
      <w:r w:rsidRPr="00B0187F">
        <w:rPr>
          <w:lang w:val="en-GB"/>
        </w:rPr>
        <w:t>“... in respect of a compensatory remedy designed to redress the consequences of excessively lengthy proceedings, [the time taken to make such payment] should not generally exceed six months from the date on which the decision awarding compensation becomes enforceable.”</w:t>
      </w:r>
    </w:p>
    <w:p w:rsidR="00D362FA" w:rsidRPr="00B0187F" w:rsidRDefault="00D362FA" w:rsidP="00B0187F">
      <w:pPr>
        <w:pStyle w:val="ECHRPara"/>
        <w:rPr>
          <w:lang w:val="en-GB"/>
        </w:rPr>
      </w:pPr>
      <w:bookmarkStart w:id="10" w:name="NO_6MESI3"/>
      <w:r w:rsidRPr="00B0187F">
        <w:rPr>
          <w:lang w:val="en-GB"/>
        </w:rPr>
        <w:t>20</w:t>
      </w:r>
      <w:bookmarkEnd w:id="10"/>
      <w:r w:rsidRPr="00B0187F">
        <w:rPr>
          <w:lang w:val="en-GB"/>
        </w:rPr>
        <w:t>.  The aforementioned short time-limit thus stems from the specific circumstances of the case, namely the compensatory nature of the “Pinto” remedy and of a “Pinto” decision. The Court notes, however, that such a compensatory nature is relevant only insofar as the plaintiff in these proceedings is concerned, as it is the plaintiff who brings the claim under the Pinto Act and who is awarded compensation if successful. The Court notes, instead, that such a compensatory feature will not be relevant in respect of a lawyer representing a plaintiff before the “Pinto” jurisdictions and requesting the direct award of legal costs. A “Pinto” decision awarding a certain sum directly to him has no compensatory value and merely represents a credit instrument evidencing a debt owed by the State.</w:t>
      </w:r>
    </w:p>
    <w:p w:rsidR="00D362FA" w:rsidRPr="00B0187F" w:rsidRDefault="00D362FA" w:rsidP="00B0187F">
      <w:pPr>
        <w:pStyle w:val="ECHRPara"/>
        <w:rPr>
          <w:lang w:val="en-GB"/>
        </w:rPr>
      </w:pPr>
      <w:r w:rsidRPr="00B0187F">
        <w:rPr>
          <w:lang w:val="en-GB"/>
        </w:rPr>
        <w:t xml:space="preserve">21.  Thus the Court finds that the nature of the cases </w:t>
      </w:r>
      <w:r w:rsidRPr="00B0187F">
        <w:rPr>
          <w:i/>
          <w:lang w:val="en-GB"/>
        </w:rPr>
        <w:t>Cocchiarella</w:t>
      </w:r>
      <w:r w:rsidRPr="00B0187F">
        <w:rPr>
          <w:lang w:val="en-GB"/>
        </w:rPr>
        <w:t xml:space="preserve"> (cited above) and </w:t>
      </w:r>
      <w:r w:rsidRPr="00B0187F">
        <w:rPr>
          <w:i/>
          <w:lang w:val="en-GB"/>
        </w:rPr>
        <w:t xml:space="preserve">Gaglione and Others </w:t>
      </w:r>
      <w:r w:rsidRPr="00B0187F">
        <w:rPr>
          <w:lang w:val="en-GB"/>
        </w:rPr>
        <w:t>(cited above), which justified the imposition of such a time-limit for executing a “Pinto” decision, is not comparable to the nature of the cases under scrutiny. That being so, the Court considers that adherence to a particularly short time-limit for the execution of the “Pinto” decisions in the present cases is not warranted.</w:t>
      </w:r>
    </w:p>
    <w:p w:rsidR="00D362FA" w:rsidRPr="00B0187F" w:rsidRDefault="00D362FA" w:rsidP="00B0187F">
      <w:pPr>
        <w:pStyle w:val="ECHRPara"/>
        <w:rPr>
          <w:lang w:val="en-GB"/>
        </w:rPr>
      </w:pPr>
      <w:r w:rsidRPr="00B0187F">
        <w:rPr>
          <w:lang w:val="en-GB"/>
        </w:rPr>
        <w:lastRenderedPageBreak/>
        <w:t>22.  Turning to the consideration of the facts in the applicants</w:t>
      </w:r>
      <w:r w:rsidR="00B0187F" w:rsidRPr="00B0187F">
        <w:rPr>
          <w:lang w:val="en-GB"/>
        </w:rPr>
        <w:t>’</w:t>
      </w:r>
      <w:r w:rsidRPr="00B0187F">
        <w:rPr>
          <w:lang w:val="en-GB"/>
        </w:rPr>
        <w:t xml:space="preserve"> cases, the Court notes that the judgments of the “Pinto” courts were complied with following delays ranging from a minimum of one year and four months to a maximum of one year and eleven months. In its case-law on delayed compliance with final and binding domestic decisions against the State, the Court has found that similar delays may or may not entail a breach of Article 6 of the Convention depending on the circumstances of the case (see, among many such examples, </w:t>
      </w:r>
      <w:r w:rsidRPr="00B0187F">
        <w:rPr>
          <w:i/>
          <w:lang w:val="en-GB"/>
        </w:rPr>
        <w:t>Burdov v. Russia (no. 2)</w:t>
      </w:r>
      <w:r w:rsidRPr="00B0187F">
        <w:rPr>
          <w:lang w:val="en-GB"/>
        </w:rPr>
        <w:t xml:space="preserve">, cited above, where periods of two years and one month and one year and three months were found to be in breach of Article 6 of the Convention; see </w:t>
      </w:r>
      <w:r w:rsidRPr="00B0187F">
        <w:rPr>
          <w:i/>
          <w:lang w:val="en-GB"/>
        </w:rPr>
        <w:t>Pavlyulynets v. Ukraine</w:t>
      </w:r>
      <w:r w:rsidRPr="00B0187F">
        <w:rPr>
          <w:lang w:val="en-GB"/>
        </w:rPr>
        <w:t xml:space="preserve">, no. 70767/01, 6 September 2005, </w:t>
      </w:r>
      <w:r w:rsidRPr="00B0187F">
        <w:rPr>
          <w:i/>
          <w:lang w:val="en-GB"/>
        </w:rPr>
        <w:t>Denisov v. Ukraine</w:t>
      </w:r>
      <w:r w:rsidRPr="00B0187F">
        <w:rPr>
          <w:lang w:val="en-GB"/>
        </w:rPr>
        <w:t xml:space="preserve"> (dec.), no. 18512/02, 01</w:t>
      </w:r>
      <w:r w:rsidR="001128F9" w:rsidRPr="00B0187F">
        <w:rPr>
          <w:lang w:val="en-GB"/>
        </w:rPr>
        <w:t> </w:t>
      </w:r>
      <w:r w:rsidRPr="00B0187F">
        <w:rPr>
          <w:lang w:val="en-GB"/>
        </w:rPr>
        <w:t xml:space="preserve">February 2005, and </w:t>
      </w:r>
      <w:r w:rsidRPr="00B0187F">
        <w:rPr>
          <w:i/>
          <w:lang w:val="en-GB"/>
        </w:rPr>
        <w:t>Krapyvnytskiy v. Ukraine</w:t>
      </w:r>
      <w:r w:rsidRPr="00B0187F">
        <w:rPr>
          <w:lang w:val="en-GB"/>
        </w:rPr>
        <w:t xml:space="preserve"> (dec.), no. 60858/00, 17</w:t>
      </w:r>
      <w:r w:rsidR="001128F9" w:rsidRPr="00B0187F">
        <w:rPr>
          <w:lang w:val="en-GB"/>
        </w:rPr>
        <w:t> </w:t>
      </w:r>
      <w:r w:rsidRPr="00B0187F">
        <w:rPr>
          <w:lang w:val="en-GB"/>
        </w:rPr>
        <w:t>September 2002, where periods of one year and six months, one year and eight months, and two years and seven months, respectively, were found to be in accordance with the requirements of Article 6 of the Convention).</w:t>
      </w:r>
    </w:p>
    <w:p w:rsidR="00D362FA" w:rsidRPr="00B0187F" w:rsidRDefault="00D362FA" w:rsidP="00B0187F">
      <w:pPr>
        <w:pStyle w:val="ECHRPara"/>
        <w:rPr>
          <w:iCs/>
        </w:rPr>
      </w:pPr>
      <w:r w:rsidRPr="00B0187F">
        <w:t>23.  </w:t>
      </w:r>
      <w:r w:rsidRPr="00B0187F">
        <w:rPr>
          <w:iCs/>
        </w:rPr>
        <w:t>As to what was at stake for the applicants in the present cases, the Court takes the view that regard must be had to the particular nature of “Pinto” litigation. The Court notes that similar litigation has evolved, over time, into a highly repetitive activity on the part of lawyers, who can institute proceedings, for a multitude of cases, relying on standardised applications and with limited investment in terms of resources, research, and time.</w:t>
      </w:r>
    </w:p>
    <w:p w:rsidR="00D362FA" w:rsidRPr="00B0187F" w:rsidRDefault="00D362FA" w:rsidP="00B0187F">
      <w:pPr>
        <w:pStyle w:val="ECHRPara"/>
        <w:rPr>
          <w:lang w:val="en-GB"/>
        </w:rPr>
      </w:pPr>
      <w:r w:rsidRPr="00B0187F">
        <w:rPr>
          <w:lang w:val="en-GB"/>
        </w:rPr>
        <w:t>24.  In light of the foregoing, the Court finds that in the instance cases the time taken to comply with the judgments of the “Pinto” courts cannot be considered unreasonable.</w:t>
      </w:r>
    </w:p>
    <w:p w:rsidR="00D362FA" w:rsidRPr="00B0187F" w:rsidRDefault="00D362FA" w:rsidP="00B0187F">
      <w:pPr>
        <w:pStyle w:val="ECHRPara"/>
        <w:rPr>
          <w:lang w:val="en-GB"/>
        </w:rPr>
      </w:pPr>
      <w:r w:rsidRPr="00B0187F">
        <w:rPr>
          <w:lang w:val="en-GB"/>
        </w:rPr>
        <w:t>25.  For the same reasons, the Court likewise finds the time taken to comply with the judgments to be in accordance with the requirements of Article 1 of Protocol no. 1.</w:t>
      </w:r>
    </w:p>
    <w:p w:rsidR="00D362FA" w:rsidRPr="00B0187F" w:rsidRDefault="00D362FA" w:rsidP="00B0187F">
      <w:pPr>
        <w:pStyle w:val="ECHRPara"/>
        <w:rPr>
          <w:lang w:val="en-GB"/>
        </w:rPr>
      </w:pPr>
      <w:r w:rsidRPr="00B0187F">
        <w:rPr>
          <w:lang w:val="en-GB"/>
        </w:rPr>
        <w:t>26.  It follows that the applications are manifestly ill-founded and must be rejected in accordance with Article 35 §§ 3 (a) and 4 of the Convention.</w:t>
      </w:r>
    </w:p>
    <w:p w:rsidR="00D362FA" w:rsidRPr="00B0187F" w:rsidRDefault="00D362FA" w:rsidP="00B0187F">
      <w:pPr>
        <w:pStyle w:val="JuParaLast"/>
      </w:pPr>
      <w:r w:rsidRPr="00B0187F">
        <w:t>For these reasons, the Court, unanimously,</w:t>
      </w:r>
    </w:p>
    <w:p w:rsidR="00D362FA" w:rsidRPr="00B0187F" w:rsidRDefault="00D362FA" w:rsidP="00B0187F">
      <w:pPr>
        <w:pStyle w:val="DecList"/>
      </w:pPr>
      <w:r w:rsidRPr="00B0187F">
        <w:rPr>
          <w:i/>
        </w:rPr>
        <w:t>Decides</w:t>
      </w:r>
      <w:r w:rsidRPr="00B0187F">
        <w:t xml:space="preserve"> to join the applications;</w:t>
      </w:r>
    </w:p>
    <w:p w:rsidR="00D362FA" w:rsidRPr="00B0187F" w:rsidRDefault="00D362FA" w:rsidP="00B0187F">
      <w:pPr>
        <w:pStyle w:val="DecList"/>
      </w:pPr>
      <w:r w:rsidRPr="00B0187F">
        <w:rPr>
          <w:i/>
        </w:rPr>
        <w:t>Declares</w:t>
      </w:r>
      <w:r w:rsidRPr="00B0187F">
        <w:t xml:space="preserve"> the applications inadmissible.</w:t>
      </w:r>
    </w:p>
    <w:p w:rsidR="00E93FC7" w:rsidRPr="00B0187F" w:rsidRDefault="00E93FC7" w:rsidP="00B0187F">
      <w:pPr>
        <w:pStyle w:val="ECHRPara"/>
        <w:rPr>
          <w:sz w:val="2"/>
          <w:szCs w:val="2"/>
          <w:lang w:val="en-GB"/>
        </w:rPr>
      </w:pPr>
    </w:p>
    <w:p w:rsidR="009912DE" w:rsidRPr="00B0187F" w:rsidRDefault="00C75E0F" w:rsidP="00B0187F">
      <w:pPr>
        <w:pStyle w:val="DecList"/>
        <w:rPr>
          <w:lang w:val="en-GB"/>
        </w:rPr>
      </w:pPr>
      <w:r w:rsidRPr="00B0187F">
        <w:rPr>
          <w:lang w:val="en-GB"/>
        </w:rPr>
        <w:t xml:space="preserve">Done in English and notified in writing on </w:t>
      </w:r>
      <w:r w:rsidR="00D362FA" w:rsidRPr="00B0187F">
        <w:rPr>
          <w:szCs w:val="24"/>
          <w:lang w:val="en-GB"/>
        </w:rPr>
        <w:t>22 June 2017</w:t>
      </w:r>
      <w:r w:rsidRPr="00B0187F">
        <w:rPr>
          <w:lang w:val="en-GB"/>
        </w:rPr>
        <w:t>.</w:t>
      </w:r>
    </w:p>
    <w:p w:rsidR="002B6368" w:rsidRPr="00B0187F" w:rsidRDefault="002B6368" w:rsidP="00B0187F">
      <w:pPr>
        <w:pStyle w:val="JuSigned"/>
        <w:tabs>
          <w:tab w:val="clear" w:pos="6407"/>
          <w:tab w:val="center" w:pos="6096"/>
        </w:tabs>
        <w:rPr>
          <w:lang w:val="en-GB"/>
        </w:rPr>
      </w:pPr>
      <w:r w:rsidRPr="00B0187F">
        <w:rPr>
          <w:lang w:val="en-GB"/>
        </w:rPr>
        <w:tab/>
      </w:r>
      <w:r w:rsidR="00D362FA" w:rsidRPr="00B0187F">
        <w:rPr>
          <w:lang w:val="en-GB"/>
        </w:rPr>
        <w:t>Abel Campos</w:t>
      </w:r>
      <w:r w:rsidRPr="00B0187F">
        <w:rPr>
          <w:lang w:val="en-GB"/>
        </w:rPr>
        <w:tab/>
      </w:r>
      <w:r w:rsidR="00D362FA" w:rsidRPr="00B0187F">
        <w:rPr>
          <w:lang w:val="en-GB"/>
        </w:rPr>
        <w:t>Linos-Alexandre Sicilianos</w:t>
      </w:r>
      <w:r w:rsidRPr="00B0187F">
        <w:rPr>
          <w:lang w:val="en-GB"/>
        </w:rPr>
        <w:br/>
      </w:r>
      <w:r w:rsidRPr="00B0187F">
        <w:rPr>
          <w:lang w:val="en-GB"/>
        </w:rPr>
        <w:tab/>
      </w:r>
      <w:r w:rsidR="00D362FA" w:rsidRPr="00B0187F">
        <w:rPr>
          <w:lang w:val="en-GB"/>
        </w:rPr>
        <w:t>Registrar</w:t>
      </w:r>
      <w:r w:rsidR="00D16E31" w:rsidRPr="00B0187F">
        <w:rPr>
          <w:lang w:val="en-GB"/>
        </w:rPr>
        <w:tab/>
        <w:t>President</w:t>
      </w:r>
    </w:p>
    <w:p w:rsidR="00D362FA" w:rsidRPr="00B0187F" w:rsidRDefault="00D362FA" w:rsidP="00B0187F">
      <w:pPr>
        <w:pStyle w:val="ECHRPara"/>
        <w:rPr>
          <w:lang w:val="en-GB"/>
        </w:rPr>
        <w:sectPr w:rsidR="00D362FA" w:rsidRPr="00B0187F"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pPr>
    </w:p>
    <w:p w:rsidR="00D362FA" w:rsidRPr="00B0187F" w:rsidRDefault="00D362FA" w:rsidP="00B0187F">
      <w:pPr>
        <w:pStyle w:val="JuTitle"/>
        <w:rPr>
          <w:lang w:val="en-GB"/>
        </w:rPr>
      </w:pPr>
      <w:r w:rsidRPr="00B0187F">
        <w:rPr>
          <w:lang w:val="en-GB"/>
        </w:rPr>
        <w:lastRenderedPageBreak/>
        <w:t>APPENDIX</w:t>
      </w:r>
    </w:p>
    <w:p w:rsidR="00D362FA" w:rsidRPr="00B0187F" w:rsidRDefault="00D362FA" w:rsidP="00B0187F">
      <w:pPr>
        <w:rPr>
          <w:bCs/>
          <w:lang w:val="en-GB"/>
        </w:rPr>
      </w:pPr>
    </w:p>
    <w:tbl>
      <w:tblPr>
        <w:tblStyle w:val="ECHRListTable"/>
        <w:tblW w:w="0" w:type="auto"/>
        <w:tblLayout w:type="fixed"/>
        <w:tblLook w:val="05E0" w:firstRow="1" w:lastRow="1" w:firstColumn="1" w:lastColumn="1" w:noHBand="0" w:noVBand="1"/>
      </w:tblPr>
      <w:tblGrid>
        <w:gridCol w:w="540"/>
        <w:gridCol w:w="1317"/>
        <w:gridCol w:w="1219"/>
        <w:gridCol w:w="1570"/>
        <w:gridCol w:w="1558"/>
        <w:gridCol w:w="1417"/>
        <w:gridCol w:w="1701"/>
        <w:gridCol w:w="1423"/>
        <w:gridCol w:w="1761"/>
      </w:tblGrid>
      <w:tr w:rsidR="00C93D8E" w:rsidRPr="00B0187F" w:rsidTr="00C93D8E">
        <w:trPr>
          <w:cnfStyle w:val="100000000000" w:firstRow="1" w:lastRow="0" w:firstColumn="0" w:lastColumn="0" w:oddVBand="0" w:evenVBand="0" w:oddHBand="0" w:evenHBand="0" w:firstRowFirstColumn="0" w:firstRowLastColumn="0" w:lastRowFirstColumn="0" w:lastRowLastColumn="0"/>
        </w:trPr>
        <w:tc>
          <w:tcPr>
            <w:tcW w:w="540" w:type="dxa"/>
          </w:tcPr>
          <w:p w:rsidR="00D362FA" w:rsidRPr="00B0187F" w:rsidRDefault="00D362FA" w:rsidP="00B0187F">
            <w:pPr>
              <w:jc w:val="left"/>
              <w:rPr>
                <w:rFonts w:cstheme="minorHAnsi"/>
                <w:sz w:val="22"/>
                <w:lang w:val="en-GB"/>
              </w:rPr>
            </w:pPr>
            <w:bookmarkStart w:id="11" w:name="TableStart"/>
            <w:bookmarkEnd w:id="11"/>
            <w:r w:rsidRPr="00B0187F">
              <w:rPr>
                <w:rFonts w:cstheme="minorHAnsi"/>
                <w:sz w:val="22"/>
                <w:lang w:val="en-GB"/>
              </w:rPr>
              <w:t>No.</w:t>
            </w: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Application no.</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Lodged on</w:t>
            </w:r>
          </w:p>
        </w:tc>
        <w:tc>
          <w:tcPr>
            <w:tcW w:w="1570" w:type="dxa"/>
          </w:tcPr>
          <w:p w:rsidR="00D362FA" w:rsidRPr="00B0187F" w:rsidRDefault="00D362FA" w:rsidP="00B0187F">
            <w:pPr>
              <w:jc w:val="left"/>
              <w:rPr>
                <w:rFonts w:cstheme="minorHAnsi"/>
                <w:sz w:val="22"/>
                <w:lang w:val="en-GB"/>
              </w:rPr>
            </w:pPr>
            <w:r w:rsidRPr="00B0187F">
              <w:rPr>
                <w:rFonts w:cstheme="minorHAnsi"/>
                <w:sz w:val="22"/>
                <w:lang w:val="en-GB"/>
              </w:rPr>
              <w:t>Applicant</w:t>
            </w:r>
          </w:p>
          <w:p w:rsidR="00D362FA" w:rsidRPr="00B0187F" w:rsidRDefault="00D362FA" w:rsidP="00B0187F">
            <w:pPr>
              <w:jc w:val="left"/>
              <w:rPr>
                <w:rFonts w:cstheme="minorHAnsi"/>
                <w:sz w:val="22"/>
                <w:lang w:val="en-GB"/>
              </w:rPr>
            </w:pPr>
            <w:r w:rsidRPr="00B0187F">
              <w:rPr>
                <w:rFonts w:cstheme="minorHAnsi"/>
                <w:sz w:val="22"/>
                <w:lang w:val="en-GB"/>
              </w:rPr>
              <w:t>Date of birth</w:t>
            </w:r>
          </w:p>
          <w:p w:rsidR="00D362FA" w:rsidRPr="00B0187F" w:rsidRDefault="00D362FA" w:rsidP="00B0187F">
            <w:pPr>
              <w:jc w:val="left"/>
              <w:rPr>
                <w:rFonts w:cstheme="minorHAnsi"/>
                <w:sz w:val="22"/>
                <w:lang w:val="en-GB"/>
              </w:rPr>
            </w:pPr>
            <w:r w:rsidRPr="00B0187F">
              <w:rPr>
                <w:rFonts w:cstheme="minorHAnsi"/>
                <w:sz w:val="22"/>
                <w:lang w:val="en-GB"/>
              </w:rPr>
              <w:t>Place of residence</w:t>
            </w:r>
          </w:p>
        </w:tc>
        <w:tc>
          <w:tcPr>
            <w:tcW w:w="1558" w:type="dxa"/>
          </w:tcPr>
          <w:p w:rsidR="00D362FA" w:rsidRPr="00B0187F" w:rsidRDefault="00D362FA" w:rsidP="00B0187F">
            <w:pPr>
              <w:jc w:val="left"/>
              <w:rPr>
                <w:rFonts w:eastAsia="PMingLiU" w:cstheme="minorHAnsi"/>
                <w:color w:val="474747"/>
                <w:sz w:val="22"/>
                <w:lang w:val="en-GB"/>
              </w:rPr>
            </w:pPr>
            <w:r w:rsidRPr="00B0187F">
              <w:rPr>
                <w:rFonts w:eastAsia="PMingLiU" w:cstheme="minorHAnsi"/>
                <w:sz w:val="22"/>
                <w:lang w:val="en-GB"/>
              </w:rPr>
              <w:t xml:space="preserve">“Pinto” judgment </w:t>
            </w:r>
          </w:p>
        </w:tc>
        <w:tc>
          <w:tcPr>
            <w:tcW w:w="1417" w:type="dxa"/>
          </w:tcPr>
          <w:p w:rsidR="00D362FA" w:rsidRPr="00B0187F" w:rsidRDefault="00D362FA" w:rsidP="00B0187F">
            <w:pPr>
              <w:jc w:val="left"/>
              <w:rPr>
                <w:rFonts w:eastAsia="PMingLiU" w:cstheme="minorHAnsi"/>
                <w:sz w:val="22"/>
                <w:lang w:val="en-GB"/>
              </w:rPr>
            </w:pPr>
            <w:r w:rsidRPr="00B0187F">
              <w:rPr>
                <w:rFonts w:eastAsia="PMingLiU" w:cstheme="minorHAnsi"/>
                <w:sz w:val="22"/>
                <w:lang w:val="en-GB"/>
              </w:rPr>
              <w:t xml:space="preserve">Sum awarded by the “Pinto” court </w:t>
            </w:r>
          </w:p>
        </w:tc>
        <w:tc>
          <w:tcPr>
            <w:tcW w:w="1701" w:type="dxa"/>
          </w:tcPr>
          <w:p w:rsidR="00D362FA" w:rsidRPr="00B0187F" w:rsidRDefault="00D362FA" w:rsidP="00B0187F">
            <w:pPr>
              <w:jc w:val="left"/>
              <w:rPr>
                <w:rFonts w:eastAsia="PMingLiU" w:cstheme="minorHAnsi"/>
                <w:sz w:val="22"/>
                <w:lang w:val="en-GB"/>
              </w:rPr>
            </w:pPr>
            <w:r w:rsidRPr="00B0187F">
              <w:rPr>
                <w:rFonts w:eastAsia="PMingLiU" w:cstheme="minorHAnsi"/>
                <w:sz w:val="22"/>
                <w:lang w:val="en-GB"/>
              </w:rPr>
              <w:t>Date of publication of the “Pinto” decision</w:t>
            </w:r>
          </w:p>
        </w:tc>
        <w:tc>
          <w:tcPr>
            <w:tcW w:w="1423" w:type="dxa"/>
          </w:tcPr>
          <w:p w:rsidR="00D362FA" w:rsidRPr="00B0187F" w:rsidRDefault="00D362FA" w:rsidP="00B0187F">
            <w:pPr>
              <w:jc w:val="left"/>
              <w:rPr>
                <w:rFonts w:eastAsia="PMingLiU" w:cstheme="minorHAnsi"/>
                <w:sz w:val="22"/>
                <w:lang w:val="en-GB"/>
              </w:rPr>
            </w:pPr>
            <w:r w:rsidRPr="00B0187F">
              <w:rPr>
                <w:rFonts w:eastAsia="PMingLiU" w:cstheme="minorHAnsi"/>
                <w:sz w:val="22"/>
                <w:lang w:val="en-GB"/>
              </w:rPr>
              <w:t>Date of payment</w:t>
            </w:r>
          </w:p>
        </w:tc>
        <w:tc>
          <w:tcPr>
            <w:tcW w:w="1761" w:type="dxa"/>
          </w:tcPr>
          <w:p w:rsidR="00D362FA" w:rsidRPr="00B0187F" w:rsidRDefault="00D362FA" w:rsidP="00B0187F">
            <w:pPr>
              <w:jc w:val="left"/>
              <w:rPr>
                <w:rFonts w:eastAsia="PMingLiU" w:cstheme="minorHAnsi"/>
                <w:sz w:val="22"/>
                <w:lang w:val="en-GB"/>
              </w:rPr>
            </w:pPr>
            <w:r w:rsidRPr="00B0187F">
              <w:rPr>
                <w:rFonts w:eastAsia="PMingLiU" w:cstheme="minorHAnsi"/>
                <w:sz w:val="22"/>
                <w:lang w:val="en-GB"/>
              </w:rPr>
              <w:t>Time taken to comply with the judgment</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46141/12</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21/05/2012</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p w:rsidR="00D362FA" w:rsidRPr="00B0187F" w:rsidRDefault="00D362FA" w:rsidP="00B0187F">
            <w:pPr>
              <w:jc w:val="left"/>
              <w:rPr>
                <w:rFonts w:cstheme="minorHAnsi"/>
                <w:sz w:val="22"/>
                <w:lang w:val="en-GB"/>
              </w:rPr>
            </w:pP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Rome Court of Appeal, no. 57447/07</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2180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17/05/2010</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26/03/2012</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10 months, 9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72275/12</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03/10/2012</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p w:rsidR="00D362FA" w:rsidRPr="00B0187F" w:rsidRDefault="00D362FA" w:rsidP="00B0187F">
            <w:pPr>
              <w:jc w:val="left"/>
              <w:rPr>
                <w:rFonts w:cstheme="minorHAnsi"/>
                <w:sz w:val="22"/>
                <w:lang w:val="en-GB"/>
              </w:rPr>
            </w:pP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Rome Court of Appeal, no. 54792/07</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600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22/10/2010</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07/06/2012</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7 months, 16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72284/12</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03/10/2012</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p w:rsidR="00D362FA" w:rsidRPr="00B0187F" w:rsidRDefault="00D362FA" w:rsidP="00B0187F">
            <w:pPr>
              <w:jc w:val="left"/>
              <w:rPr>
                <w:rFonts w:cstheme="minorHAnsi"/>
                <w:sz w:val="22"/>
                <w:lang w:val="en-GB"/>
              </w:rPr>
            </w:pP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Rome Court of Appeal, no. 54796/07</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500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22/10/2010</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07/06/2012</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7 months, 16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13439/13</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11/12/2012</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p w:rsidR="00D362FA" w:rsidRPr="00B0187F" w:rsidRDefault="00D362FA" w:rsidP="00B0187F">
            <w:pPr>
              <w:jc w:val="left"/>
              <w:rPr>
                <w:rFonts w:cstheme="minorHAnsi"/>
                <w:sz w:val="22"/>
                <w:lang w:val="en-GB"/>
              </w:rPr>
            </w:pP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Rome Court of Appeal, no. 573/08 and 574/08 </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1650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14/02/2011</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12/10/2012</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7 months, 28 days</w:t>
            </w:r>
          </w:p>
        </w:tc>
      </w:tr>
      <w:tr w:rsidR="00D362FA" w:rsidRPr="00B0187F" w:rsidTr="00C93D8E">
        <w:tc>
          <w:tcPr>
            <w:tcW w:w="540" w:type="dxa"/>
          </w:tcPr>
          <w:p w:rsidR="00D362FA" w:rsidRPr="00B0187F" w:rsidRDefault="00D362FA" w:rsidP="00B0187F">
            <w:pPr>
              <w:pStyle w:val="Paragrafoelenco"/>
              <w:keepNext/>
              <w:keepLines/>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39146/13</w:t>
            </w:r>
          </w:p>
        </w:tc>
        <w:tc>
          <w:tcPr>
            <w:tcW w:w="1219"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21/05/2013</w:t>
            </w:r>
          </w:p>
        </w:tc>
        <w:tc>
          <w:tcPr>
            <w:tcW w:w="1570" w:type="dxa"/>
          </w:tcPr>
          <w:p w:rsidR="00D362FA" w:rsidRPr="00B0187F" w:rsidRDefault="00D362FA" w:rsidP="00B0187F">
            <w:pPr>
              <w:keepNext/>
              <w:keepLines/>
              <w:jc w:val="left"/>
              <w:rPr>
                <w:rFonts w:cstheme="minorHAnsi"/>
                <w:b/>
                <w:sz w:val="22"/>
                <w:lang w:val="en-GB"/>
              </w:rPr>
            </w:pPr>
            <w:r w:rsidRPr="00B0187F">
              <w:rPr>
                <w:rFonts w:cstheme="minorHAnsi"/>
                <w:b/>
                <w:sz w:val="22"/>
                <w:lang w:val="en-GB"/>
              </w:rPr>
              <w:t>Michele IZZO</w:t>
            </w:r>
          </w:p>
          <w:p w:rsidR="00D362FA" w:rsidRPr="00B0187F" w:rsidRDefault="00D362FA" w:rsidP="00B0187F">
            <w:pPr>
              <w:keepNext/>
              <w:keepLines/>
              <w:jc w:val="left"/>
              <w:rPr>
                <w:rFonts w:cstheme="minorHAnsi"/>
                <w:sz w:val="22"/>
                <w:lang w:val="en-GB"/>
              </w:rPr>
            </w:pPr>
            <w:r w:rsidRPr="00B0187F">
              <w:rPr>
                <w:rFonts w:cstheme="minorHAnsi"/>
                <w:sz w:val="22"/>
                <w:lang w:val="en-GB"/>
              </w:rPr>
              <w:t>16/06/1947</w:t>
            </w:r>
          </w:p>
          <w:p w:rsidR="00D362FA" w:rsidRPr="00B0187F" w:rsidRDefault="00D362FA" w:rsidP="00B0187F">
            <w:pPr>
              <w:keepNext/>
              <w:keepLines/>
              <w:jc w:val="left"/>
              <w:rPr>
                <w:rFonts w:cstheme="minorHAnsi"/>
                <w:sz w:val="22"/>
                <w:lang w:val="en-GB"/>
              </w:rPr>
            </w:pPr>
            <w:r w:rsidRPr="00B0187F">
              <w:rPr>
                <w:rFonts w:cstheme="minorHAnsi"/>
                <w:sz w:val="22"/>
                <w:lang w:val="en-GB"/>
              </w:rPr>
              <w:t>Benevento</w:t>
            </w:r>
          </w:p>
        </w:tc>
        <w:tc>
          <w:tcPr>
            <w:tcW w:w="1558"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 xml:space="preserve">Rome Court of Appeal, no. 4408/08 </w:t>
            </w:r>
          </w:p>
        </w:tc>
        <w:tc>
          <w:tcPr>
            <w:tcW w:w="1417" w:type="dxa"/>
          </w:tcPr>
          <w:p w:rsidR="00D362FA" w:rsidRPr="00B0187F" w:rsidRDefault="00D362FA" w:rsidP="00B0187F">
            <w:pPr>
              <w:keepNext/>
              <w:keepLines/>
              <w:rPr>
                <w:rFonts w:cstheme="minorHAnsi"/>
                <w:sz w:val="22"/>
                <w:lang w:val="en-GB"/>
              </w:rPr>
            </w:pPr>
            <w:r w:rsidRPr="00B0187F">
              <w:rPr>
                <w:rFonts w:cstheme="minorHAnsi"/>
                <w:sz w:val="22"/>
                <w:lang w:val="en-GB"/>
              </w:rPr>
              <w:t>1300 EUR</w:t>
            </w:r>
          </w:p>
        </w:tc>
        <w:tc>
          <w:tcPr>
            <w:tcW w:w="1701" w:type="dxa"/>
          </w:tcPr>
          <w:p w:rsidR="00D362FA" w:rsidRPr="00B0187F" w:rsidRDefault="00D362FA" w:rsidP="00B0187F">
            <w:pPr>
              <w:keepNext/>
              <w:keepLines/>
              <w:rPr>
                <w:rFonts w:cstheme="minorHAnsi"/>
                <w:sz w:val="22"/>
                <w:lang w:val="en-GB"/>
              </w:rPr>
            </w:pPr>
            <w:r w:rsidRPr="00B0187F">
              <w:rPr>
                <w:rFonts w:cstheme="minorHAnsi"/>
                <w:sz w:val="22"/>
                <w:lang w:val="en-GB"/>
              </w:rPr>
              <w:t>21/04/2011</w:t>
            </w:r>
          </w:p>
        </w:tc>
        <w:tc>
          <w:tcPr>
            <w:tcW w:w="1423" w:type="dxa"/>
          </w:tcPr>
          <w:p w:rsidR="00D362FA" w:rsidRPr="00B0187F" w:rsidRDefault="00D362FA" w:rsidP="00B0187F">
            <w:pPr>
              <w:keepNext/>
              <w:keepLines/>
              <w:rPr>
                <w:rFonts w:cstheme="minorHAnsi"/>
                <w:sz w:val="22"/>
                <w:lang w:val="en-GB"/>
              </w:rPr>
            </w:pPr>
            <w:r w:rsidRPr="00B0187F">
              <w:rPr>
                <w:rFonts w:cstheme="minorHAnsi"/>
                <w:sz w:val="22"/>
                <w:lang w:val="en-GB"/>
              </w:rPr>
              <w:t>28/01/2013</w:t>
            </w:r>
          </w:p>
        </w:tc>
        <w:tc>
          <w:tcPr>
            <w:tcW w:w="1761"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1 year, 9 months, 7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39149/13</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21/05/2013</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Rome Court of Appeal, no. 4410/08 </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1300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21/04/2011</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28/01/2013</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9 months, 7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39152/13</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21/05/2013</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Rome Court of Appeal, no. 4409/08 </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1300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21/04/2011</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28/01/2013</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9 months, 7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39153/13</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21/05/2013</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Michele IZZO</w:t>
            </w:r>
          </w:p>
          <w:p w:rsidR="00D362FA" w:rsidRPr="00B0187F" w:rsidRDefault="00D362FA" w:rsidP="00B0187F">
            <w:pPr>
              <w:jc w:val="left"/>
              <w:rPr>
                <w:rFonts w:cstheme="minorHAnsi"/>
                <w:sz w:val="22"/>
                <w:lang w:val="en-GB"/>
              </w:rPr>
            </w:pPr>
            <w:r w:rsidRPr="00B0187F">
              <w:rPr>
                <w:rFonts w:cstheme="minorHAnsi"/>
                <w:sz w:val="22"/>
                <w:lang w:val="en-GB"/>
              </w:rPr>
              <w:t>16/06/1947</w:t>
            </w:r>
          </w:p>
          <w:p w:rsidR="00D362FA" w:rsidRPr="00B0187F" w:rsidRDefault="00D362FA" w:rsidP="00B0187F">
            <w:pPr>
              <w:jc w:val="left"/>
              <w:rPr>
                <w:rFonts w:cstheme="minorHAnsi"/>
                <w:sz w:val="22"/>
                <w:lang w:val="en-GB"/>
              </w:rPr>
            </w:pPr>
            <w:r w:rsidRPr="00B0187F">
              <w:rPr>
                <w:rFonts w:cstheme="minorHAnsi"/>
                <w:sz w:val="22"/>
                <w:lang w:val="en-GB"/>
              </w:rPr>
              <w:t>Benevento</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Rome Court of Appeal, no. 58424/09 </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900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14/02/2011</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17/01/2013</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11 months, 3 days</w:t>
            </w:r>
          </w:p>
        </w:tc>
      </w:tr>
      <w:tr w:rsidR="00D362FA" w:rsidRPr="00B0187F" w:rsidTr="00C93D8E">
        <w:trPr>
          <w:trHeight w:val="770"/>
        </w:trPr>
        <w:tc>
          <w:tcPr>
            <w:tcW w:w="540" w:type="dxa"/>
            <w:vMerge w:val="restart"/>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vMerge w:val="restart"/>
          </w:tcPr>
          <w:p w:rsidR="00D362FA" w:rsidRPr="00B0187F" w:rsidRDefault="00D362FA" w:rsidP="00B0187F">
            <w:pPr>
              <w:keepNext/>
              <w:keepLines/>
              <w:jc w:val="left"/>
              <w:rPr>
                <w:rFonts w:cstheme="minorHAnsi"/>
                <w:sz w:val="22"/>
                <w:lang w:val="en-GB"/>
              </w:rPr>
            </w:pPr>
            <w:r w:rsidRPr="00B0187F">
              <w:rPr>
                <w:rFonts w:cstheme="minorHAnsi"/>
                <w:sz w:val="22"/>
                <w:lang w:val="en-GB"/>
              </w:rPr>
              <w:t>67725/14</w:t>
            </w:r>
          </w:p>
        </w:tc>
        <w:tc>
          <w:tcPr>
            <w:tcW w:w="1219" w:type="dxa"/>
            <w:vMerge w:val="restart"/>
          </w:tcPr>
          <w:p w:rsidR="00D362FA" w:rsidRPr="00B0187F" w:rsidRDefault="00D362FA" w:rsidP="00B0187F">
            <w:pPr>
              <w:keepNext/>
              <w:keepLines/>
              <w:jc w:val="left"/>
              <w:rPr>
                <w:rFonts w:cstheme="minorHAnsi"/>
                <w:sz w:val="22"/>
                <w:lang w:val="en-GB"/>
              </w:rPr>
            </w:pPr>
            <w:r w:rsidRPr="00B0187F">
              <w:rPr>
                <w:rFonts w:cstheme="minorHAnsi"/>
                <w:sz w:val="22"/>
                <w:lang w:val="en-GB"/>
              </w:rPr>
              <w:t>08/07/2014</w:t>
            </w:r>
          </w:p>
        </w:tc>
        <w:tc>
          <w:tcPr>
            <w:tcW w:w="1570" w:type="dxa"/>
            <w:vMerge w:val="restart"/>
          </w:tcPr>
          <w:p w:rsidR="00D362FA" w:rsidRPr="00B0187F" w:rsidRDefault="00D362FA" w:rsidP="00B0187F">
            <w:pPr>
              <w:keepNext/>
              <w:keepLines/>
              <w:jc w:val="left"/>
              <w:rPr>
                <w:rFonts w:cstheme="minorHAnsi"/>
                <w:b/>
                <w:sz w:val="22"/>
                <w:lang w:val="en-GB"/>
              </w:rPr>
            </w:pPr>
            <w:r w:rsidRPr="00B0187F">
              <w:rPr>
                <w:rFonts w:cstheme="minorHAnsi"/>
                <w:b/>
                <w:sz w:val="22"/>
                <w:lang w:val="en-GB"/>
              </w:rPr>
              <w:t>Matteo MENDUNI</w:t>
            </w:r>
          </w:p>
          <w:p w:rsidR="00D362FA" w:rsidRPr="00B0187F" w:rsidRDefault="00D362FA" w:rsidP="00B0187F">
            <w:pPr>
              <w:keepNext/>
              <w:keepLines/>
              <w:jc w:val="left"/>
              <w:rPr>
                <w:rFonts w:cstheme="minorHAnsi"/>
                <w:sz w:val="22"/>
                <w:lang w:val="en-GB"/>
              </w:rPr>
            </w:pPr>
            <w:r w:rsidRPr="00B0187F">
              <w:rPr>
                <w:rFonts w:cstheme="minorHAnsi"/>
                <w:sz w:val="22"/>
                <w:lang w:val="en-GB"/>
              </w:rPr>
              <w:t>05/02/1980</w:t>
            </w:r>
          </w:p>
          <w:p w:rsidR="00D362FA" w:rsidRPr="00B0187F" w:rsidRDefault="00D362FA" w:rsidP="00B0187F">
            <w:pPr>
              <w:keepNext/>
              <w:keepLines/>
              <w:jc w:val="left"/>
              <w:rPr>
                <w:rFonts w:cstheme="minorHAnsi"/>
                <w:sz w:val="22"/>
                <w:lang w:val="en-GB"/>
              </w:rPr>
            </w:pPr>
            <w:r w:rsidRPr="00B0187F">
              <w:rPr>
                <w:rFonts w:cstheme="minorHAnsi"/>
                <w:sz w:val="22"/>
                <w:lang w:val="en-GB"/>
              </w:rPr>
              <w:t>Foggia</w:t>
            </w:r>
          </w:p>
          <w:p w:rsidR="00D362FA" w:rsidRPr="00B0187F" w:rsidRDefault="00D362FA" w:rsidP="00B0187F">
            <w:pPr>
              <w:keepNext/>
              <w:keepLines/>
              <w:jc w:val="left"/>
              <w:rPr>
                <w:rFonts w:cstheme="minorHAnsi"/>
                <w:sz w:val="22"/>
                <w:lang w:val="en-GB"/>
              </w:rPr>
            </w:pPr>
          </w:p>
        </w:tc>
        <w:tc>
          <w:tcPr>
            <w:tcW w:w="1558"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 xml:space="preserve">Lecce Court of </w:t>
            </w:r>
            <w:r w:rsidRPr="00B0187F">
              <w:rPr>
                <w:rFonts w:cstheme="minorHAnsi"/>
                <w:sz w:val="22"/>
                <w:lang w:val="en-GB"/>
              </w:rPr>
              <w:br/>
              <w:t>Appeal, no. 1324/10</w:t>
            </w:r>
          </w:p>
        </w:tc>
        <w:tc>
          <w:tcPr>
            <w:tcW w:w="1417" w:type="dxa"/>
          </w:tcPr>
          <w:p w:rsidR="00D362FA" w:rsidRPr="00B0187F" w:rsidRDefault="00D362FA" w:rsidP="00B0187F">
            <w:pPr>
              <w:keepNext/>
              <w:keepLines/>
              <w:rPr>
                <w:rFonts w:cstheme="minorHAnsi"/>
                <w:sz w:val="22"/>
                <w:lang w:val="en-GB"/>
              </w:rPr>
            </w:pPr>
            <w:r w:rsidRPr="00B0187F">
              <w:rPr>
                <w:rFonts w:cstheme="minorHAnsi"/>
                <w:sz w:val="22"/>
                <w:lang w:val="en-GB"/>
              </w:rPr>
              <w:t>1280 EUR</w:t>
            </w:r>
          </w:p>
        </w:tc>
        <w:tc>
          <w:tcPr>
            <w:tcW w:w="1701" w:type="dxa"/>
          </w:tcPr>
          <w:p w:rsidR="00D362FA" w:rsidRPr="00B0187F" w:rsidRDefault="00D362FA" w:rsidP="00B0187F">
            <w:pPr>
              <w:keepNext/>
              <w:keepLines/>
              <w:rPr>
                <w:rFonts w:cstheme="minorHAnsi"/>
                <w:sz w:val="22"/>
                <w:lang w:val="en-GB"/>
              </w:rPr>
            </w:pPr>
            <w:r w:rsidRPr="00B0187F">
              <w:rPr>
                <w:rFonts w:cstheme="minorHAnsi"/>
                <w:sz w:val="22"/>
                <w:lang w:val="en-GB"/>
              </w:rPr>
              <w:t>5/06/2012</w:t>
            </w:r>
          </w:p>
        </w:tc>
        <w:tc>
          <w:tcPr>
            <w:tcW w:w="1423" w:type="dxa"/>
          </w:tcPr>
          <w:p w:rsidR="00D362FA" w:rsidRPr="00B0187F" w:rsidRDefault="00D362FA" w:rsidP="00B0187F">
            <w:pPr>
              <w:keepNext/>
              <w:keepLines/>
              <w:rPr>
                <w:rFonts w:cstheme="minorHAnsi"/>
                <w:sz w:val="22"/>
                <w:lang w:val="en-GB"/>
              </w:rPr>
            </w:pPr>
            <w:r w:rsidRPr="00B0187F">
              <w:rPr>
                <w:rFonts w:cstheme="minorHAnsi"/>
                <w:sz w:val="22"/>
                <w:lang w:val="en-GB"/>
              </w:rPr>
              <w:t>15/04/2014</w:t>
            </w:r>
          </w:p>
        </w:tc>
        <w:tc>
          <w:tcPr>
            <w:tcW w:w="1761"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1 year, 10 months, 10 days</w:t>
            </w:r>
          </w:p>
        </w:tc>
      </w:tr>
      <w:tr w:rsidR="00D362FA" w:rsidRPr="00B0187F" w:rsidTr="00C93D8E">
        <w:trPr>
          <w:cantSplit/>
          <w:trHeight w:val="450"/>
        </w:trPr>
        <w:tc>
          <w:tcPr>
            <w:tcW w:w="540" w:type="dxa"/>
            <w:vMerge/>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vMerge/>
          </w:tcPr>
          <w:p w:rsidR="00D362FA" w:rsidRPr="00B0187F" w:rsidRDefault="00D362FA" w:rsidP="00B0187F">
            <w:pPr>
              <w:keepNext/>
              <w:keepLines/>
              <w:jc w:val="left"/>
              <w:rPr>
                <w:rFonts w:cstheme="minorHAnsi"/>
                <w:sz w:val="22"/>
                <w:lang w:val="en-GB"/>
              </w:rPr>
            </w:pPr>
          </w:p>
        </w:tc>
        <w:tc>
          <w:tcPr>
            <w:tcW w:w="1219" w:type="dxa"/>
            <w:vMerge/>
          </w:tcPr>
          <w:p w:rsidR="00D362FA" w:rsidRPr="00B0187F" w:rsidRDefault="00D362FA" w:rsidP="00B0187F">
            <w:pPr>
              <w:keepNext/>
              <w:keepLines/>
              <w:jc w:val="left"/>
              <w:rPr>
                <w:rFonts w:cstheme="minorHAnsi"/>
                <w:sz w:val="22"/>
                <w:lang w:val="en-GB"/>
              </w:rPr>
            </w:pPr>
          </w:p>
        </w:tc>
        <w:tc>
          <w:tcPr>
            <w:tcW w:w="1570" w:type="dxa"/>
            <w:vMerge/>
          </w:tcPr>
          <w:p w:rsidR="00D362FA" w:rsidRPr="00B0187F" w:rsidRDefault="00D362FA" w:rsidP="00B0187F">
            <w:pPr>
              <w:keepNext/>
              <w:keepLines/>
              <w:jc w:val="left"/>
              <w:rPr>
                <w:rFonts w:cstheme="minorHAnsi"/>
                <w:b/>
                <w:sz w:val="22"/>
                <w:lang w:val="en-GB"/>
              </w:rPr>
            </w:pPr>
          </w:p>
        </w:tc>
        <w:tc>
          <w:tcPr>
            <w:tcW w:w="1558"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 xml:space="preserve">Lecce Court of </w:t>
            </w:r>
            <w:r w:rsidRPr="00B0187F">
              <w:rPr>
                <w:rFonts w:cstheme="minorHAnsi"/>
                <w:sz w:val="22"/>
                <w:lang w:val="en-GB"/>
              </w:rPr>
              <w:br/>
              <w:t>Appeal, no. 171/10</w:t>
            </w:r>
          </w:p>
        </w:tc>
        <w:tc>
          <w:tcPr>
            <w:tcW w:w="1417" w:type="dxa"/>
          </w:tcPr>
          <w:p w:rsidR="00D362FA" w:rsidRPr="00B0187F" w:rsidRDefault="00D362FA" w:rsidP="00B0187F">
            <w:pPr>
              <w:keepNext/>
              <w:keepLines/>
              <w:rPr>
                <w:rFonts w:cstheme="minorHAnsi"/>
                <w:sz w:val="22"/>
                <w:lang w:val="en-GB"/>
              </w:rPr>
            </w:pPr>
            <w:r w:rsidRPr="00B0187F">
              <w:rPr>
                <w:rFonts w:cstheme="minorHAnsi"/>
                <w:sz w:val="22"/>
                <w:lang w:val="en-GB"/>
              </w:rPr>
              <w:t>1280 EUR</w:t>
            </w:r>
          </w:p>
        </w:tc>
        <w:tc>
          <w:tcPr>
            <w:tcW w:w="1701" w:type="dxa"/>
          </w:tcPr>
          <w:p w:rsidR="00D362FA" w:rsidRPr="00B0187F" w:rsidRDefault="00D362FA" w:rsidP="00B0187F">
            <w:pPr>
              <w:keepNext/>
              <w:keepLines/>
              <w:rPr>
                <w:rFonts w:cstheme="minorHAnsi"/>
                <w:sz w:val="22"/>
                <w:lang w:val="en-GB"/>
              </w:rPr>
            </w:pPr>
            <w:r w:rsidRPr="00B0187F">
              <w:rPr>
                <w:rFonts w:cstheme="minorHAnsi"/>
                <w:sz w:val="22"/>
                <w:lang w:val="en-GB"/>
              </w:rPr>
              <w:t>5/07/2012</w:t>
            </w:r>
          </w:p>
        </w:tc>
        <w:tc>
          <w:tcPr>
            <w:tcW w:w="1423" w:type="dxa"/>
          </w:tcPr>
          <w:p w:rsidR="00D362FA" w:rsidRPr="00B0187F" w:rsidRDefault="00D362FA" w:rsidP="00B0187F">
            <w:pPr>
              <w:keepNext/>
              <w:keepLines/>
              <w:rPr>
                <w:rFonts w:cstheme="minorHAnsi"/>
                <w:sz w:val="22"/>
                <w:lang w:val="en-GB"/>
              </w:rPr>
            </w:pPr>
            <w:r w:rsidRPr="00B0187F">
              <w:rPr>
                <w:rFonts w:cstheme="minorHAnsi"/>
                <w:sz w:val="22"/>
                <w:lang w:val="en-GB"/>
              </w:rPr>
              <w:t>04/03/2014</w:t>
            </w:r>
          </w:p>
        </w:tc>
        <w:tc>
          <w:tcPr>
            <w:tcW w:w="1761" w:type="dxa"/>
          </w:tcPr>
          <w:p w:rsidR="00D362FA" w:rsidRPr="00B0187F" w:rsidRDefault="00D362FA" w:rsidP="00B0187F">
            <w:pPr>
              <w:keepNext/>
              <w:keepLines/>
              <w:jc w:val="left"/>
              <w:rPr>
                <w:rFonts w:cstheme="minorHAnsi"/>
                <w:sz w:val="22"/>
                <w:lang w:val="en-GB"/>
              </w:rPr>
            </w:pPr>
            <w:r w:rsidRPr="00B0187F">
              <w:rPr>
                <w:rFonts w:cstheme="minorHAnsi"/>
                <w:sz w:val="22"/>
                <w:lang w:val="en-GB"/>
              </w:rPr>
              <w:t>1 year, 7 months, 27 days</w:t>
            </w:r>
          </w:p>
        </w:tc>
      </w:tr>
      <w:tr w:rsidR="00D362FA" w:rsidRPr="00B0187F" w:rsidTr="00C93D8E">
        <w:trPr>
          <w:trHeight w:val="928"/>
        </w:trPr>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19723/15</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02/04/2015</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Matteo MENDUNI</w:t>
            </w:r>
          </w:p>
          <w:p w:rsidR="00D362FA" w:rsidRPr="00B0187F" w:rsidRDefault="00D362FA" w:rsidP="00B0187F">
            <w:pPr>
              <w:jc w:val="left"/>
              <w:rPr>
                <w:rFonts w:cstheme="minorHAnsi"/>
                <w:sz w:val="22"/>
                <w:lang w:val="en-GB"/>
              </w:rPr>
            </w:pPr>
            <w:r w:rsidRPr="00B0187F">
              <w:rPr>
                <w:rFonts w:cstheme="minorHAnsi"/>
                <w:sz w:val="22"/>
                <w:lang w:val="en-GB"/>
              </w:rPr>
              <w:t>05/02/1980</w:t>
            </w:r>
          </w:p>
          <w:p w:rsidR="00D362FA" w:rsidRPr="00B0187F" w:rsidRDefault="00D362FA" w:rsidP="00B0187F">
            <w:pPr>
              <w:jc w:val="left"/>
              <w:rPr>
                <w:rFonts w:cstheme="minorHAnsi"/>
                <w:sz w:val="22"/>
                <w:lang w:val="en-GB"/>
              </w:rPr>
            </w:pPr>
            <w:r w:rsidRPr="00B0187F">
              <w:rPr>
                <w:rFonts w:cstheme="minorHAnsi"/>
                <w:sz w:val="22"/>
                <w:lang w:val="en-GB"/>
              </w:rPr>
              <w:t>Foggia</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Lecce Court of </w:t>
            </w:r>
            <w:r w:rsidRPr="00B0187F">
              <w:rPr>
                <w:rFonts w:cstheme="minorHAnsi"/>
                <w:sz w:val="22"/>
                <w:lang w:val="en-GB"/>
              </w:rPr>
              <w:br/>
              <w:t xml:space="preserve">Appeal, no. 947/11 </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730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21/06/2013</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29/12/2014</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6 months, 8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54798/15</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22/10/2015</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Matteo MENDUNI</w:t>
            </w:r>
          </w:p>
          <w:p w:rsidR="00D362FA" w:rsidRPr="00B0187F" w:rsidRDefault="00D362FA" w:rsidP="00B0187F">
            <w:pPr>
              <w:jc w:val="left"/>
              <w:rPr>
                <w:rFonts w:cstheme="minorHAnsi"/>
                <w:sz w:val="22"/>
                <w:lang w:val="en-GB"/>
              </w:rPr>
            </w:pPr>
            <w:r w:rsidRPr="00B0187F">
              <w:rPr>
                <w:rFonts w:cstheme="minorHAnsi"/>
                <w:sz w:val="22"/>
                <w:lang w:val="en-GB"/>
              </w:rPr>
              <w:t>05/02/1980</w:t>
            </w:r>
          </w:p>
          <w:p w:rsidR="00D362FA" w:rsidRPr="00B0187F" w:rsidRDefault="00D362FA" w:rsidP="00B0187F">
            <w:pPr>
              <w:jc w:val="left"/>
              <w:rPr>
                <w:rFonts w:cstheme="minorHAnsi"/>
                <w:sz w:val="22"/>
                <w:lang w:val="en-GB"/>
              </w:rPr>
            </w:pPr>
            <w:r w:rsidRPr="00B0187F">
              <w:rPr>
                <w:rFonts w:cstheme="minorHAnsi"/>
                <w:sz w:val="22"/>
                <w:lang w:val="en-GB"/>
              </w:rPr>
              <w:t>Foggia</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 xml:space="preserve">Lecce Court of </w:t>
            </w:r>
            <w:r w:rsidRPr="00B0187F">
              <w:rPr>
                <w:rFonts w:cstheme="minorHAnsi"/>
                <w:sz w:val="22"/>
                <w:lang w:val="en-GB"/>
              </w:rPr>
              <w:br/>
              <w:t>Appeal, no. 119/12</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730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21/05/2014</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29/09/2015</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4 months, 8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20868/16</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06/04/2016</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Orsola D</w:t>
            </w:r>
            <w:r w:rsidR="00B0187F" w:rsidRPr="00B0187F">
              <w:rPr>
                <w:rFonts w:cstheme="minorHAnsi"/>
                <w:b/>
                <w:sz w:val="22"/>
                <w:lang w:val="en-GB"/>
              </w:rPr>
              <w:t>’</w:t>
            </w:r>
            <w:r w:rsidRPr="00B0187F">
              <w:rPr>
                <w:rFonts w:cstheme="minorHAnsi"/>
                <w:b/>
                <w:sz w:val="22"/>
                <w:lang w:val="en-GB"/>
              </w:rPr>
              <w:t>ADDAMIO</w:t>
            </w:r>
          </w:p>
          <w:p w:rsidR="00D362FA" w:rsidRPr="00B0187F" w:rsidRDefault="00D362FA" w:rsidP="00B0187F">
            <w:pPr>
              <w:jc w:val="left"/>
              <w:rPr>
                <w:rFonts w:cstheme="minorHAnsi"/>
                <w:sz w:val="22"/>
                <w:lang w:val="en-GB"/>
              </w:rPr>
            </w:pPr>
            <w:r w:rsidRPr="00B0187F">
              <w:rPr>
                <w:rFonts w:cstheme="minorHAnsi"/>
                <w:sz w:val="22"/>
                <w:lang w:val="en-GB"/>
              </w:rPr>
              <w:t>16/04/1981</w:t>
            </w:r>
          </w:p>
          <w:p w:rsidR="00D362FA" w:rsidRPr="00B0187F" w:rsidRDefault="00D362FA" w:rsidP="00B0187F">
            <w:pPr>
              <w:jc w:val="left"/>
              <w:rPr>
                <w:rFonts w:cstheme="minorHAnsi"/>
                <w:sz w:val="22"/>
                <w:lang w:val="en-GB"/>
              </w:rPr>
            </w:pPr>
            <w:r w:rsidRPr="00B0187F">
              <w:rPr>
                <w:rFonts w:cstheme="minorHAnsi"/>
                <w:sz w:val="22"/>
                <w:lang w:val="en-GB"/>
              </w:rPr>
              <w:t>Sulmona</w:t>
            </w:r>
          </w:p>
        </w:tc>
        <w:tc>
          <w:tcPr>
            <w:tcW w:w="1558" w:type="dxa"/>
          </w:tcPr>
          <w:p w:rsidR="00D362FA" w:rsidRPr="00B0187F" w:rsidRDefault="00D362FA" w:rsidP="00B0187F">
            <w:pPr>
              <w:jc w:val="left"/>
              <w:rPr>
                <w:rFonts w:cstheme="minorHAnsi"/>
                <w:sz w:val="22"/>
                <w:lang w:val="en-GB"/>
              </w:rPr>
            </w:pPr>
            <w:r w:rsidRPr="00B0187F">
              <w:rPr>
                <w:rFonts w:cstheme="minorHAnsi"/>
                <w:sz w:val="22"/>
                <w:lang w:val="en-GB"/>
              </w:rPr>
              <w:t>Aquila Court of Appeal, no. 298/13</w:t>
            </w:r>
          </w:p>
        </w:tc>
        <w:tc>
          <w:tcPr>
            <w:tcW w:w="1417" w:type="dxa"/>
          </w:tcPr>
          <w:p w:rsidR="00D362FA" w:rsidRPr="00B0187F" w:rsidRDefault="00D362FA" w:rsidP="00B0187F">
            <w:pPr>
              <w:rPr>
                <w:rFonts w:cstheme="minorHAnsi"/>
                <w:sz w:val="22"/>
                <w:lang w:val="en-GB"/>
              </w:rPr>
            </w:pPr>
            <w:r w:rsidRPr="00B0187F">
              <w:rPr>
                <w:rFonts w:cstheme="minorHAnsi"/>
                <w:sz w:val="22"/>
                <w:lang w:val="en-GB"/>
              </w:rPr>
              <w:t>1100 EUR</w:t>
            </w:r>
          </w:p>
        </w:tc>
        <w:tc>
          <w:tcPr>
            <w:tcW w:w="1701" w:type="dxa"/>
          </w:tcPr>
          <w:p w:rsidR="00D362FA" w:rsidRPr="00B0187F" w:rsidRDefault="00D362FA" w:rsidP="00B0187F">
            <w:pPr>
              <w:rPr>
                <w:rFonts w:cstheme="minorHAnsi"/>
                <w:sz w:val="22"/>
                <w:lang w:val="en-GB"/>
              </w:rPr>
            </w:pPr>
            <w:r w:rsidRPr="00B0187F">
              <w:rPr>
                <w:rFonts w:cstheme="minorHAnsi"/>
                <w:sz w:val="22"/>
                <w:lang w:val="en-GB"/>
              </w:rPr>
              <w:t>26/03/2014</w:t>
            </w:r>
          </w:p>
        </w:tc>
        <w:tc>
          <w:tcPr>
            <w:tcW w:w="1423" w:type="dxa"/>
          </w:tcPr>
          <w:p w:rsidR="00D362FA" w:rsidRPr="00B0187F" w:rsidRDefault="00D362FA" w:rsidP="00B0187F">
            <w:pPr>
              <w:rPr>
                <w:rFonts w:cstheme="minorHAnsi"/>
                <w:sz w:val="22"/>
                <w:lang w:val="en-GB"/>
              </w:rPr>
            </w:pPr>
            <w:r w:rsidRPr="00B0187F">
              <w:rPr>
                <w:rFonts w:cstheme="minorHAnsi"/>
                <w:sz w:val="22"/>
                <w:lang w:val="en-GB"/>
              </w:rPr>
              <w:t>07/10/2015</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6 months, 11 days</w:t>
            </w:r>
          </w:p>
        </w:tc>
      </w:tr>
      <w:tr w:rsidR="00D362FA" w:rsidRPr="00B0187F" w:rsidTr="00C93D8E">
        <w:tc>
          <w:tcPr>
            <w:tcW w:w="540" w:type="dxa"/>
          </w:tcPr>
          <w:p w:rsidR="00D362FA" w:rsidRPr="00B0187F" w:rsidRDefault="00D362FA" w:rsidP="00B0187F">
            <w:pPr>
              <w:pStyle w:val="Paragrafoelenco"/>
              <w:numPr>
                <w:ilvl w:val="0"/>
                <w:numId w:val="17"/>
              </w:numPr>
              <w:tabs>
                <w:tab w:val="num" w:pos="283"/>
              </w:tabs>
              <w:ind w:left="0" w:firstLine="0"/>
              <w:jc w:val="left"/>
              <w:rPr>
                <w:rFonts w:cstheme="minorHAnsi"/>
                <w:sz w:val="22"/>
                <w:lang w:val="en-GB"/>
              </w:rPr>
            </w:pPr>
          </w:p>
        </w:tc>
        <w:tc>
          <w:tcPr>
            <w:tcW w:w="1317" w:type="dxa"/>
          </w:tcPr>
          <w:p w:rsidR="00D362FA" w:rsidRPr="00B0187F" w:rsidRDefault="00D362FA" w:rsidP="00B0187F">
            <w:pPr>
              <w:jc w:val="left"/>
              <w:rPr>
                <w:rFonts w:cstheme="minorHAnsi"/>
                <w:sz w:val="22"/>
                <w:lang w:val="en-GB"/>
              </w:rPr>
            </w:pPr>
            <w:r w:rsidRPr="00B0187F">
              <w:rPr>
                <w:rFonts w:cstheme="minorHAnsi"/>
                <w:sz w:val="22"/>
                <w:lang w:val="en-GB"/>
              </w:rPr>
              <w:t>60547/16</w:t>
            </w:r>
          </w:p>
        </w:tc>
        <w:tc>
          <w:tcPr>
            <w:tcW w:w="1219" w:type="dxa"/>
          </w:tcPr>
          <w:p w:rsidR="00D362FA" w:rsidRPr="00B0187F" w:rsidRDefault="00D362FA" w:rsidP="00B0187F">
            <w:pPr>
              <w:jc w:val="left"/>
              <w:rPr>
                <w:rFonts w:cstheme="minorHAnsi"/>
                <w:sz w:val="22"/>
                <w:lang w:val="en-GB"/>
              </w:rPr>
            </w:pPr>
            <w:r w:rsidRPr="00B0187F">
              <w:rPr>
                <w:rFonts w:cstheme="minorHAnsi"/>
                <w:sz w:val="22"/>
                <w:lang w:val="en-GB"/>
              </w:rPr>
              <w:t>05/10/2016</w:t>
            </w:r>
          </w:p>
        </w:tc>
        <w:tc>
          <w:tcPr>
            <w:tcW w:w="1570" w:type="dxa"/>
          </w:tcPr>
          <w:p w:rsidR="00D362FA" w:rsidRPr="00B0187F" w:rsidRDefault="00D362FA" w:rsidP="00B0187F">
            <w:pPr>
              <w:jc w:val="left"/>
              <w:rPr>
                <w:rFonts w:cstheme="minorHAnsi"/>
                <w:b/>
                <w:sz w:val="22"/>
                <w:lang w:val="en-GB"/>
              </w:rPr>
            </w:pPr>
            <w:r w:rsidRPr="00B0187F">
              <w:rPr>
                <w:rFonts w:cstheme="minorHAnsi"/>
                <w:b/>
                <w:sz w:val="22"/>
                <w:lang w:val="en-GB"/>
              </w:rPr>
              <w:t>Orsola D</w:t>
            </w:r>
            <w:r w:rsidR="00B0187F" w:rsidRPr="00B0187F">
              <w:rPr>
                <w:rFonts w:cstheme="minorHAnsi"/>
                <w:b/>
                <w:sz w:val="22"/>
                <w:lang w:val="en-GB"/>
              </w:rPr>
              <w:t>’</w:t>
            </w:r>
            <w:r w:rsidRPr="00B0187F">
              <w:rPr>
                <w:rFonts w:cstheme="minorHAnsi"/>
                <w:b/>
                <w:sz w:val="22"/>
                <w:lang w:val="en-GB"/>
              </w:rPr>
              <w:t>ADDAMIO</w:t>
            </w:r>
          </w:p>
          <w:p w:rsidR="00D362FA" w:rsidRPr="00B0187F" w:rsidRDefault="00D362FA" w:rsidP="00B0187F">
            <w:pPr>
              <w:jc w:val="left"/>
              <w:rPr>
                <w:rFonts w:cstheme="minorHAnsi"/>
                <w:sz w:val="22"/>
                <w:lang w:val="en-GB"/>
              </w:rPr>
            </w:pPr>
            <w:r w:rsidRPr="00B0187F">
              <w:rPr>
                <w:rFonts w:cstheme="minorHAnsi"/>
                <w:sz w:val="22"/>
                <w:lang w:val="en-GB"/>
              </w:rPr>
              <w:t>16/04/1981</w:t>
            </w:r>
          </w:p>
          <w:p w:rsidR="00D362FA" w:rsidRPr="00B0187F" w:rsidRDefault="00D362FA" w:rsidP="00B0187F">
            <w:pPr>
              <w:jc w:val="left"/>
              <w:rPr>
                <w:rFonts w:cstheme="minorHAnsi"/>
                <w:sz w:val="22"/>
                <w:lang w:val="en-GB"/>
              </w:rPr>
            </w:pPr>
            <w:r w:rsidRPr="00B0187F">
              <w:rPr>
                <w:rFonts w:cstheme="minorHAnsi"/>
                <w:sz w:val="22"/>
                <w:lang w:val="en-GB"/>
              </w:rPr>
              <w:t>Sulmona</w:t>
            </w:r>
          </w:p>
        </w:tc>
        <w:tc>
          <w:tcPr>
            <w:tcW w:w="1558" w:type="dxa"/>
          </w:tcPr>
          <w:p w:rsidR="00D362FA" w:rsidRPr="00B0187F" w:rsidRDefault="00D362FA" w:rsidP="00B0187F">
            <w:pPr>
              <w:jc w:val="left"/>
              <w:rPr>
                <w:rFonts w:cstheme="minorHAnsi"/>
                <w:color w:val="000000"/>
                <w:sz w:val="22"/>
                <w:lang w:val="en-GB"/>
              </w:rPr>
            </w:pPr>
            <w:bookmarkStart w:id="12" w:name="TableEnd"/>
            <w:bookmarkEnd w:id="12"/>
            <w:r w:rsidRPr="00B0187F">
              <w:rPr>
                <w:rFonts w:cstheme="minorHAnsi"/>
                <w:color w:val="000000"/>
                <w:sz w:val="22"/>
                <w:lang w:val="en-GB"/>
              </w:rPr>
              <w:t>Perugia Court of Appeal, no. 725/14</w:t>
            </w:r>
          </w:p>
        </w:tc>
        <w:tc>
          <w:tcPr>
            <w:tcW w:w="1417" w:type="dxa"/>
          </w:tcPr>
          <w:p w:rsidR="00D362FA" w:rsidRPr="00B0187F" w:rsidRDefault="00D362FA" w:rsidP="00B0187F">
            <w:pPr>
              <w:rPr>
                <w:rFonts w:cstheme="minorHAnsi"/>
                <w:color w:val="000000"/>
                <w:sz w:val="22"/>
                <w:lang w:val="en-GB"/>
              </w:rPr>
            </w:pPr>
            <w:r w:rsidRPr="00B0187F">
              <w:rPr>
                <w:rFonts w:cstheme="minorHAnsi"/>
                <w:color w:val="000000"/>
                <w:sz w:val="22"/>
                <w:lang w:val="en-GB"/>
              </w:rPr>
              <w:t>150 EUR</w:t>
            </w:r>
          </w:p>
        </w:tc>
        <w:tc>
          <w:tcPr>
            <w:tcW w:w="1701" w:type="dxa"/>
          </w:tcPr>
          <w:p w:rsidR="00D362FA" w:rsidRPr="00B0187F" w:rsidRDefault="00D362FA" w:rsidP="00B0187F">
            <w:pPr>
              <w:rPr>
                <w:rFonts w:cstheme="minorHAnsi"/>
                <w:color w:val="000000"/>
                <w:sz w:val="22"/>
                <w:lang w:val="en-GB"/>
              </w:rPr>
            </w:pPr>
            <w:r w:rsidRPr="00B0187F">
              <w:rPr>
                <w:rFonts w:cstheme="minorHAnsi"/>
                <w:color w:val="000000"/>
                <w:sz w:val="22"/>
                <w:lang w:val="en-GB"/>
              </w:rPr>
              <w:t>09/05/2014</w:t>
            </w:r>
          </w:p>
        </w:tc>
        <w:tc>
          <w:tcPr>
            <w:tcW w:w="1423" w:type="dxa"/>
          </w:tcPr>
          <w:p w:rsidR="00D362FA" w:rsidRPr="00B0187F" w:rsidRDefault="00D362FA" w:rsidP="00B0187F">
            <w:pPr>
              <w:rPr>
                <w:rFonts w:cstheme="minorHAnsi"/>
                <w:color w:val="000000"/>
                <w:sz w:val="22"/>
                <w:lang w:val="en-GB"/>
              </w:rPr>
            </w:pPr>
            <w:r w:rsidRPr="00B0187F">
              <w:rPr>
                <w:rFonts w:cstheme="minorHAnsi"/>
                <w:color w:val="000000"/>
                <w:sz w:val="22"/>
                <w:lang w:val="en-GB"/>
              </w:rPr>
              <w:t>15/04/2016</w:t>
            </w:r>
          </w:p>
        </w:tc>
        <w:tc>
          <w:tcPr>
            <w:tcW w:w="1761" w:type="dxa"/>
          </w:tcPr>
          <w:p w:rsidR="00D362FA" w:rsidRPr="00B0187F" w:rsidRDefault="00D362FA" w:rsidP="00B0187F">
            <w:pPr>
              <w:jc w:val="left"/>
              <w:rPr>
                <w:rFonts w:cstheme="minorHAnsi"/>
                <w:sz w:val="22"/>
                <w:lang w:val="en-GB"/>
              </w:rPr>
            </w:pPr>
            <w:r w:rsidRPr="00B0187F">
              <w:rPr>
                <w:rFonts w:cstheme="minorHAnsi"/>
                <w:sz w:val="22"/>
                <w:lang w:val="en-GB"/>
              </w:rPr>
              <w:t>1 year, 11 months, 6 days</w:t>
            </w:r>
          </w:p>
        </w:tc>
      </w:tr>
    </w:tbl>
    <w:p w:rsidR="00D362FA" w:rsidRPr="00B0187F" w:rsidRDefault="00D362FA" w:rsidP="00B0187F">
      <w:pPr>
        <w:rPr>
          <w:lang w:val="en-GB"/>
        </w:rPr>
      </w:pPr>
    </w:p>
    <w:p w:rsidR="00206A52" w:rsidRPr="00B0187F" w:rsidRDefault="00206A52" w:rsidP="00B0187F">
      <w:pPr>
        <w:rPr>
          <w:lang w:val="en-GB"/>
        </w:rPr>
      </w:pPr>
    </w:p>
    <w:sectPr w:rsidR="00206A52" w:rsidRPr="00B0187F" w:rsidSect="0097322F">
      <w:headerReference w:type="even" r:id="rId14"/>
      <w:headerReference w:type="default" r:id="rId15"/>
      <w:headerReference w:type="first" r:id="rId16"/>
      <w:footnotePr>
        <w:numRestart w:val="eachPage"/>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815" w:rsidRPr="00700638" w:rsidRDefault="00FE6815" w:rsidP="005C4C1E">
      <w:pPr>
        <w:rPr>
          <w:lang w:val="en-GB"/>
        </w:rPr>
      </w:pPr>
      <w:r w:rsidRPr="00700638">
        <w:rPr>
          <w:lang w:val="en-GB"/>
        </w:rPr>
        <w:separator/>
      </w:r>
    </w:p>
  </w:endnote>
  <w:endnote w:type="continuationSeparator" w:id="0">
    <w:p w:rsidR="00FE6815" w:rsidRPr="00700638" w:rsidRDefault="00FE6815"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FA" w:rsidRPr="00D362FA" w:rsidRDefault="00D362FA" w:rsidP="0020718E">
    <w:pPr>
      <w:jc w:val="center"/>
      <w:rPr>
        <w:lang w:val="en-GB"/>
      </w:rPr>
    </w:pPr>
    <w:r>
      <w:rPr>
        <w:noProof/>
        <w:lang w:val="it-IT" w:eastAsia="it-IT"/>
      </w:rPr>
      <w:drawing>
        <wp:inline distT="0" distB="0" distL="0" distR="0" wp14:anchorId="3D05FA84" wp14:editId="29686688">
          <wp:extent cx="771525" cy="619125"/>
          <wp:effectExtent l="0" t="0" r="9525" b="9525"/>
          <wp:docPr id="21" name="Picture 2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F05C7B" w:rsidRPr="00700638" w:rsidRDefault="00FE6815" w:rsidP="002E2C77">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815" w:rsidRPr="00700638" w:rsidRDefault="00FE6815" w:rsidP="005C4C1E">
      <w:pPr>
        <w:rPr>
          <w:lang w:val="en-GB"/>
        </w:rPr>
      </w:pPr>
      <w:r w:rsidRPr="00700638">
        <w:rPr>
          <w:lang w:val="en-GB"/>
        </w:rPr>
        <w:separator/>
      </w:r>
    </w:p>
  </w:footnote>
  <w:footnote w:type="continuationSeparator" w:id="0">
    <w:p w:rsidR="00FE6815" w:rsidRPr="00700638" w:rsidRDefault="00FE6815"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D362FA" w:rsidP="0097322F">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35BBF">
      <w:rPr>
        <w:rStyle w:val="Numeropagina"/>
        <w:noProof/>
        <w:lang w:val="en-GB"/>
      </w:rPr>
      <w:t>6</w:t>
    </w:r>
    <w:r>
      <w:rPr>
        <w:rStyle w:val="Numeropagina"/>
        <w:lang w:val="en-GB"/>
      </w:rPr>
      <w:fldChar w:fldCharType="end"/>
    </w:r>
    <w:r w:rsidR="00C72A0D" w:rsidRPr="00700638">
      <w:rPr>
        <w:lang w:val="en-GB"/>
      </w:rPr>
      <w:tab/>
    </w:r>
    <w:r>
      <w:rPr>
        <w:lang w:val="en-GB"/>
      </w:rPr>
      <w:t>IZZO v. ITALY</w:t>
    </w:r>
    <w:r w:rsidRPr="00700638">
      <w:rPr>
        <w:noProof/>
        <w:lang w:val="en-GB"/>
      </w:rPr>
      <w:t xml:space="preserve"> AND OTHER APPLICATIONS</w:t>
    </w:r>
    <w:r w:rsidR="00C72A0D" w:rsidRPr="00700638">
      <w:rPr>
        <w:lang w:val="en-GB"/>
      </w:rPr>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C7B" w:rsidRPr="00700638" w:rsidRDefault="0097322F" w:rsidP="0097322F">
    <w:pPr>
      <w:pStyle w:val="ECHRHeader"/>
      <w:tabs>
        <w:tab w:val="clear" w:pos="3686"/>
        <w:tab w:val="clear" w:pos="7371"/>
        <w:tab w:val="center" w:pos="3402"/>
        <w:tab w:val="left" w:pos="7111"/>
        <w:tab w:val="right" w:pos="11624"/>
      </w:tabs>
      <w:rPr>
        <w:lang w:val="en-GB"/>
      </w:rPr>
    </w:pPr>
    <w:r>
      <w:rPr>
        <w:lang w:val="en-GB"/>
      </w:rPr>
      <w:tab/>
    </w:r>
    <w:r w:rsidR="00D362FA">
      <w:rPr>
        <w:lang w:val="en-GB"/>
      </w:rPr>
      <w:t>IZZO v. ITALY</w:t>
    </w:r>
    <w:r w:rsidR="00D362FA" w:rsidRPr="00700638">
      <w:rPr>
        <w:noProof/>
        <w:lang w:val="en-GB"/>
      </w:rPr>
      <w:t xml:space="preserve"> AND OTHER APPLICATIONS</w:t>
    </w:r>
    <w:r>
      <w:rPr>
        <w:lang w:val="en-GB"/>
      </w:rPr>
      <w:t xml:space="preserve"> DECISION</w:t>
    </w:r>
    <w:r>
      <w:rPr>
        <w:lang w:val="en-GB"/>
      </w:rPr>
      <w:tab/>
    </w:r>
    <w:r w:rsidR="00D362FA">
      <w:rPr>
        <w:rStyle w:val="Numeropagina"/>
        <w:lang w:val="en-GB"/>
      </w:rPr>
      <w:fldChar w:fldCharType="begin"/>
    </w:r>
    <w:r w:rsidR="00D362FA">
      <w:rPr>
        <w:rStyle w:val="Numeropagina"/>
        <w:lang w:val="en-GB"/>
      </w:rPr>
      <w:instrText xml:space="preserve"> PAGE </w:instrText>
    </w:r>
    <w:r w:rsidR="00D362FA">
      <w:rPr>
        <w:rStyle w:val="Numeropagina"/>
        <w:lang w:val="en-GB"/>
      </w:rPr>
      <w:fldChar w:fldCharType="separate"/>
    </w:r>
    <w:r w:rsidR="00B35BBF">
      <w:rPr>
        <w:rStyle w:val="Numeropagina"/>
        <w:noProof/>
        <w:lang w:val="en-GB"/>
      </w:rPr>
      <w:t>5</w:t>
    </w:r>
    <w:r w:rsidR="00D362FA">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FA" w:rsidRPr="00A45145" w:rsidRDefault="0097322F" w:rsidP="00A45145">
    <w:pPr>
      <w:jc w:val="center"/>
    </w:pPr>
    <w:r>
      <w:rPr>
        <w:noProof/>
        <w:lang w:val="it-IT" w:eastAsia="it-IT"/>
      </w:rPr>
      <w:drawing>
        <wp:inline distT="0" distB="0" distL="0" distR="0" wp14:anchorId="5D89DA5A" wp14:editId="0C8A9F17">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F05C7B" w:rsidRPr="00700638" w:rsidRDefault="00FE6815" w:rsidP="00EA1004">
    <w:pPr>
      <w:jc w:val="center"/>
      <w:rPr>
        <w:lang w:val="en-G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2F" w:rsidRPr="00700638" w:rsidRDefault="0097322F" w:rsidP="0097322F">
    <w:pPr>
      <w:pStyle w:val="ECHRHeader"/>
      <w:tabs>
        <w:tab w:val="clear" w:pos="3686"/>
        <w:tab w:val="center" w:pos="5954"/>
      </w:tabs>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35BBF">
      <w:rPr>
        <w:rStyle w:val="Numeropagina"/>
        <w:noProof/>
        <w:lang w:val="en-GB"/>
      </w:rPr>
      <w:t>8</w:t>
    </w:r>
    <w:r>
      <w:rPr>
        <w:rStyle w:val="Numeropagina"/>
        <w:lang w:val="en-GB"/>
      </w:rPr>
      <w:fldChar w:fldCharType="end"/>
    </w:r>
    <w:r w:rsidRPr="00700638">
      <w:rPr>
        <w:lang w:val="en-GB"/>
      </w:rPr>
      <w:tab/>
    </w:r>
    <w:r>
      <w:rPr>
        <w:lang w:val="en-GB"/>
      </w:rPr>
      <w:t>IZZO v. ITALY</w:t>
    </w:r>
    <w:r w:rsidRPr="00700638">
      <w:rPr>
        <w:noProof/>
        <w:lang w:val="en-GB"/>
      </w:rPr>
      <w:t xml:space="preserve"> AND OTHER APPLICATIONS</w:t>
    </w:r>
    <w:r w:rsidRPr="00700638">
      <w:rPr>
        <w:lang w:val="en-GB"/>
      </w:rPr>
      <w:t xml:space="preserve"> DECISION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22F" w:rsidRPr="00700638" w:rsidRDefault="0097322F" w:rsidP="0097322F">
    <w:pPr>
      <w:pStyle w:val="ECHRHeader"/>
      <w:tabs>
        <w:tab w:val="clear" w:pos="3686"/>
        <w:tab w:val="clear" w:pos="7371"/>
        <w:tab w:val="center" w:pos="5954"/>
        <w:tab w:val="left" w:pos="7111"/>
        <w:tab w:val="right" w:pos="11624"/>
      </w:tabs>
      <w:rPr>
        <w:lang w:val="en-GB"/>
      </w:rPr>
    </w:pPr>
    <w:r>
      <w:rPr>
        <w:lang w:val="en-GB"/>
      </w:rPr>
      <w:tab/>
      <w:t>IZZO v. ITALY</w:t>
    </w:r>
    <w:r w:rsidRPr="00700638">
      <w:rPr>
        <w:noProof/>
        <w:lang w:val="en-GB"/>
      </w:rPr>
      <w:t xml:space="preserve"> AND OTHER APPLICATIONS</w:t>
    </w:r>
    <w:r>
      <w:rPr>
        <w:lang w:val="en-GB"/>
      </w:rPr>
      <w:t xml:space="preserve"> DECISION</w:t>
    </w:r>
    <w:r>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B35BBF">
      <w:rPr>
        <w:rStyle w:val="Numeropagina"/>
        <w:noProof/>
        <w:lang w:val="en-GB"/>
      </w:rPr>
      <w:t>9</w:t>
    </w:r>
    <w:r>
      <w:rPr>
        <w:rStyle w:val="Numeropagina"/>
        <w:lang w:val="en-GB"/>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2FA" w:rsidRPr="00D362FA" w:rsidRDefault="00D362FA" w:rsidP="00A45145">
    <w:pPr>
      <w:jc w:val="center"/>
      <w:rPr>
        <w:rFonts w:eastAsiaTheme="minorHAnsi"/>
        <w:sz w:val="18"/>
        <w:lang w:val="en-GB"/>
      </w:rPr>
    </w:pPr>
    <w:r w:rsidRPr="00D362FA">
      <w:rPr>
        <w:rFonts w:eastAsiaTheme="minorHAnsi"/>
        <w:sz w:val="18"/>
        <w:lang w:val="en-GB"/>
      </w:rPr>
      <w:t xml:space="preserve">IZZO v. ITALY </w:t>
    </w:r>
    <w:smartTag w:uri="urn:schemas-microsoft-com:office:smarttags" w:element="stockticker">
      <w:r w:rsidRPr="00D362FA">
        <w:rPr>
          <w:rFonts w:eastAsiaTheme="minorHAnsi"/>
          <w:sz w:val="18"/>
          <w:lang w:val="en-GB"/>
        </w:rPr>
        <w:t>AND</w:t>
      </w:r>
    </w:smartTag>
    <w:r w:rsidRPr="00D362FA">
      <w:rPr>
        <w:rFonts w:eastAsiaTheme="minorHAnsi"/>
        <w:sz w:val="18"/>
        <w:lang w:val="en-GB"/>
      </w:rPr>
      <w:t xml:space="preserve"> OTHER APPLICATIONS DECISION</w:t>
    </w:r>
    <w:r w:rsidR="0097322F">
      <w:rPr>
        <w:rFonts w:eastAsiaTheme="minorHAnsi"/>
        <w:sz w:val="18"/>
        <w:lang w:val="en-GB"/>
      </w:rPr>
      <w:tab/>
    </w:r>
  </w:p>
  <w:p w:rsidR="00D362FA" w:rsidRPr="00700638" w:rsidRDefault="00D362FA" w:rsidP="00EA1004">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D301FB"/>
    <w:multiLevelType w:val="hybridMultilevel"/>
    <w:tmpl w:val="5D68E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4"/>
  </w:num>
  <w:num w:numId="2">
    <w:abstractNumId w:val="14"/>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removePersonalInformation/>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3"/>
    <w:docVar w:name="AppNatAutre" w:val="0"/>
    <w:docVar w:name="DocVarPREMATURE" w:val="0"/>
    <w:docVar w:name="EMM" w:val="0"/>
    <w:docVar w:name="ETRANSMISSION" w:val="BY E-TRANSMISSION ONLY"/>
    <w:docVar w:name="L4_1Annex" w:val="0"/>
    <w:docVar w:name="L4_1Anonymity" w:val="0"/>
    <w:docVar w:name="NBEMMDOC" w:val="0"/>
    <w:docVar w:name="Plural" w:val="4"/>
    <w:docVar w:name="SignForeName" w:val="0"/>
  </w:docVars>
  <w:rsids>
    <w:rsidRoot w:val="00D362FA"/>
    <w:rsid w:val="00024CA4"/>
    <w:rsid w:val="000D2AA5"/>
    <w:rsid w:val="000F3965"/>
    <w:rsid w:val="001128F9"/>
    <w:rsid w:val="00115035"/>
    <w:rsid w:val="001818B5"/>
    <w:rsid w:val="00206A52"/>
    <w:rsid w:val="0029715C"/>
    <w:rsid w:val="002B6368"/>
    <w:rsid w:val="003458D0"/>
    <w:rsid w:val="003D2893"/>
    <w:rsid w:val="003F5BAF"/>
    <w:rsid w:val="004E5B83"/>
    <w:rsid w:val="005C4C1E"/>
    <w:rsid w:val="00623174"/>
    <w:rsid w:val="00635391"/>
    <w:rsid w:val="006C406F"/>
    <w:rsid w:val="006D76EE"/>
    <w:rsid w:val="00700638"/>
    <w:rsid w:val="00750F4F"/>
    <w:rsid w:val="0076040F"/>
    <w:rsid w:val="007718BF"/>
    <w:rsid w:val="0085559E"/>
    <w:rsid w:val="00883450"/>
    <w:rsid w:val="00965DB7"/>
    <w:rsid w:val="0097322F"/>
    <w:rsid w:val="00987A64"/>
    <w:rsid w:val="009912DE"/>
    <w:rsid w:val="009A722F"/>
    <w:rsid w:val="009E4DD0"/>
    <w:rsid w:val="009F490F"/>
    <w:rsid w:val="00A26346"/>
    <w:rsid w:val="00A567CA"/>
    <w:rsid w:val="00A9083B"/>
    <w:rsid w:val="00A92649"/>
    <w:rsid w:val="00A92D46"/>
    <w:rsid w:val="00B0187F"/>
    <w:rsid w:val="00B2397A"/>
    <w:rsid w:val="00B35BBF"/>
    <w:rsid w:val="00B67325"/>
    <w:rsid w:val="00B719CC"/>
    <w:rsid w:val="00B90EA9"/>
    <w:rsid w:val="00BA6B27"/>
    <w:rsid w:val="00C138D4"/>
    <w:rsid w:val="00C72A0D"/>
    <w:rsid w:val="00C75D1C"/>
    <w:rsid w:val="00C75E0F"/>
    <w:rsid w:val="00C841F3"/>
    <w:rsid w:val="00C93D8E"/>
    <w:rsid w:val="00D16E31"/>
    <w:rsid w:val="00D27DAA"/>
    <w:rsid w:val="00D362FA"/>
    <w:rsid w:val="00DF27F6"/>
    <w:rsid w:val="00E50569"/>
    <w:rsid w:val="00E54165"/>
    <w:rsid w:val="00E906BA"/>
    <w:rsid w:val="00E93FC7"/>
    <w:rsid w:val="00EC727E"/>
    <w:rsid w:val="00ED04C3"/>
    <w:rsid w:val="00EE3667"/>
    <w:rsid w:val="00EF6E65"/>
    <w:rsid w:val="00F24A83"/>
    <w:rsid w:val="00F913F2"/>
    <w:rsid w:val="00FE395D"/>
    <w:rsid w:val="00FE6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987A64"/>
    <w:pPr>
      <w:spacing w:before="200"/>
      <w:outlineLvl w:val="4"/>
    </w:pPr>
    <w:rPr>
      <w:rFonts w:asciiTheme="majorHAnsi" w:eastAsiaTheme="majorEastAsia" w:hAnsiTheme="majorHAnsi" w:cstheme="majorBidi"/>
      <w:b/>
      <w:bCs/>
      <w:color w:val="808080"/>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987A64"/>
    <w:pPr>
      <w:outlineLvl w:val="6"/>
    </w:pPr>
    <w:rPr>
      <w:rFonts w:asciiTheme="majorHAnsi" w:eastAsiaTheme="majorEastAsia" w:hAnsiTheme="majorHAnsi" w:cstheme="majorBidi"/>
      <w:i/>
      <w:iCs/>
      <w:lang w:bidi="en-US"/>
    </w:rPr>
  </w:style>
  <w:style w:type="paragraph" w:styleId="Titolo8">
    <w:name w:val="heading 8"/>
    <w:basedOn w:val="Normale"/>
    <w:next w:val="Normale"/>
    <w:link w:val="Titolo8Carattere"/>
    <w:uiPriority w:val="99"/>
    <w:semiHidden/>
    <w:qFormat/>
    <w:rsid w:val="00987A64"/>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987A64"/>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987A64"/>
    <w:pPr>
      <w:tabs>
        <w:tab w:val="center" w:pos="851"/>
        <w:tab w:val="center" w:pos="6407"/>
      </w:tabs>
      <w:spacing w:before="720"/>
      <w:jc w:val="left"/>
    </w:pPr>
  </w:style>
  <w:style w:type="paragraph" w:customStyle="1" w:styleId="ECHRPara">
    <w:name w:val="ECHR_Para"/>
    <w:aliases w:val="Ju_Para"/>
    <w:basedOn w:val="Normale"/>
    <w:link w:val="ECHRParaChar"/>
    <w:uiPriority w:val="12"/>
    <w:qFormat/>
    <w:rsid w:val="00987A64"/>
    <w:pPr>
      <w:ind w:firstLine="284"/>
    </w:p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987A64"/>
  </w:style>
  <w:style w:type="paragraph" w:customStyle="1" w:styleId="ECHRTitleCentre2">
    <w:name w:val="ECHR_Title_Centre_2"/>
    <w:aliases w:val="Dec_H_Case"/>
    <w:basedOn w:val="Normale"/>
    <w:next w:val="ECHRPara"/>
    <w:uiPriority w:val="8"/>
    <w:qFormat/>
    <w:rsid w:val="00987A64"/>
    <w:pPr>
      <w:spacing w:after="240"/>
      <w:jc w:val="center"/>
      <w:outlineLvl w:val="0"/>
    </w:pPr>
    <w:rPr>
      <w:rFonts w:asciiTheme="majorHAnsi" w:hAnsiTheme="majorHAnsi"/>
      <w:i/>
    </w:rPr>
  </w:style>
  <w:style w:type="paragraph" w:customStyle="1" w:styleId="JuTitle">
    <w:name w:val="Ju_Title"/>
    <w:basedOn w:val="Normale"/>
    <w:next w:val="ECHRPara"/>
    <w:uiPriority w:val="3"/>
    <w:qFormat/>
    <w:rsid w:val="00987A64"/>
    <w:pPr>
      <w:spacing w:before="720" w:after="240"/>
      <w:jc w:val="center"/>
      <w:outlineLvl w:val="0"/>
    </w:pPr>
    <w:rPr>
      <w:rFonts w:asciiTheme="majorHAnsi" w:hAnsiTheme="majorHAnsi"/>
      <w:b/>
      <w:caps/>
    </w:rPr>
  </w:style>
  <w:style w:type="paragraph" w:customStyle="1" w:styleId="ECHRHeader">
    <w:name w:val="ECHR_Header"/>
    <w:aliases w:val="Ju_Header"/>
    <w:basedOn w:val="Intestazione"/>
    <w:uiPriority w:val="4"/>
    <w:qFormat/>
    <w:rsid w:val="00987A64"/>
    <w:pPr>
      <w:tabs>
        <w:tab w:val="clear" w:pos="4536"/>
        <w:tab w:val="clear" w:pos="9072"/>
        <w:tab w:val="center" w:pos="3686"/>
        <w:tab w:val="right" w:pos="7371"/>
      </w:tabs>
      <w:jc w:val="left"/>
    </w:pPr>
    <w:rPr>
      <w:sz w:val="18"/>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987A64"/>
    <w:pPr>
      <w:numPr>
        <w:numId w:val="16"/>
      </w:numPr>
      <w:jc w:val="left"/>
    </w:pPr>
    <w:rPr>
      <w:b/>
    </w:rPr>
  </w:style>
  <w:style w:type="paragraph" w:customStyle="1" w:styleId="OpiPara">
    <w:name w:val="Opi_Para"/>
    <w:basedOn w:val="ECHRPara"/>
    <w:uiPriority w:val="46"/>
    <w:qFormat/>
    <w:rsid w:val="00987A64"/>
  </w:style>
  <w:style w:type="paragraph" w:customStyle="1" w:styleId="ECHRParaQuote">
    <w:name w:val="ECHR_Para_Quote"/>
    <w:aliases w:val="Ju_Quot"/>
    <w:basedOn w:val="Normale"/>
    <w:uiPriority w:val="14"/>
    <w:qFormat/>
    <w:rsid w:val="00987A64"/>
    <w:pPr>
      <w:spacing w:before="120" w:after="120"/>
      <w:ind w:left="425" w:firstLine="142"/>
    </w:pPr>
    <w:rPr>
      <w:sz w:val="20"/>
    </w:rPr>
  </w:style>
  <w:style w:type="paragraph" w:customStyle="1" w:styleId="JuParaSub">
    <w:name w:val="Ju_Para_Sub"/>
    <w:basedOn w:val="ECHRPara"/>
    <w:uiPriority w:val="13"/>
    <w:qFormat/>
    <w:rsid w:val="00987A64"/>
    <w:pPr>
      <w:ind w:left="284"/>
    </w:pPr>
  </w:style>
  <w:style w:type="paragraph" w:customStyle="1" w:styleId="OpiParaSub">
    <w:name w:val="Opi_Para_Sub"/>
    <w:basedOn w:val="JuParaSub"/>
    <w:uiPriority w:val="47"/>
    <w:qFormat/>
    <w:rsid w:val="00987A64"/>
  </w:style>
  <w:style w:type="paragraph" w:customStyle="1" w:styleId="OpiQuot">
    <w:name w:val="Opi_Quot"/>
    <w:basedOn w:val="ECHRParaQuote"/>
    <w:uiPriority w:val="48"/>
    <w:qFormat/>
    <w:rsid w:val="00987A64"/>
  </w:style>
  <w:style w:type="paragraph" w:customStyle="1" w:styleId="OpiQuotSub">
    <w:name w:val="Opi_Quot_Sub"/>
    <w:basedOn w:val="JuQuotSub"/>
    <w:uiPriority w:val="49"/>
    <w:qFormat/>
    <w:rsid w:val="00987A64"/>
  </w:style>
  <w:style w:type="paragraph" w:customStyle="1" w:styleId="ECHRTitleCentre3">
    <w:name w:val="ECHR_Title_Centre_3"/>
    <w:aliases w:val="Ju_H_Article"/>
    <w:basedOn w:val="Normale"/>
    <w:next w:val="ECHRParaQuote"/>
    <w:uiPriority w:val="27"/>
    <w:qFormat/>
    <w:rsid w:val="00987A64"/>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qFormat/>
    <w:rsid w:val="00987A64"/>
    <w:pPr>
      <w:keepNext/>
      <w:keepLines/>
      <w:spacing w:after="240"/>
      <w:jc w:val="center"/>
      <w:outlineLvl w:val="0"/>
    </w:pPr>
    <w:rPr>
      <w:rFonts w:asciiTheme="majorHAnsi" w:hAnsiTheme="majorHAnsi"/>
      <w:sz w:val="28"/>
    </w:rPr>
  </w:style>
  <w:style w:type="paragraph" w:customStyle="1" w:styleId="JuQuotSub">
    <w:name w:val="Ju_Quot_Sub"/>
    <w:basedOn w:val="ECHRParaQuote"/>
    <w:uiPriority w:val="15"/>
    <w:qFormat/>
    <w:rsid w:val="00987A64"/>
    <w:pPr>
      <w:ind w:left="567"/>
    </w:pPr>
  </w:style>
  <w:style w:type="paragraph" w:customStyle="1" w:styleId="ECHRTitle1">
    <w:name w:val="ECHR_Title_1"/>
    <w:aliases w:val="Ju_H_Head"/>
    <w:basedOn w:val="Normale"/>
    <w:next w:val="ECHRPara"/>
    <w:uiPriority w:val="18"/>
    <w:qFormat/>
    <w:rsid w:val="00987A64"/>
    <w:pPr>
      <w:keepNext/>
      <w:keepLines/>
      <w:spacing w:before="720" w:after="240"/>
      <w:outlineLvl w:val="0"/>
    </w:pPr>
    <w:rPr>
      <w:rFonts w:asciiTheme="majorHAnsi" w:hAnsiTheme="majorHAnsi"/>
      <w:sz w:val="28"/>
    </w:rPr>
  </w:style>
  <w:style w:type="paragraph" w:customStyle="1" w:styleId="JuInitialled">
    <w:name w:val="Ju_Initialled"/>
    <w:basedOn w:val="Normale"/>
    <w:uiPriority w:val="31"/>
    <w:qFormat/>
    <w:rsid w:val="00987A64"/>
    <w:pPr>
      <w:tabs>
        <w:tab w:val="center" w:pos="6407"/>
      </w:tabs>
      <w:spacing w:before="720"/>
      <w:jc w:val="right"/>
    </w:pPr>
  </w:style>
  <w:style w:type="paragraph" w:customStyle="1" w:styleId="OpiHA">
    <w:name w:val="Opi_H_A"/>
    <w:basedOn w:val="ECHRHeading1"/>
    <w:next w:val="OpiPara"/>
    <w:uiPriority w:val="41"/>
    <w:qFormat/>
    <w:rsid w:val="00987A64"/>
    <w:pPr>
      <w:tabs>
        <w:tab w:val="clear" w:pos="357"/>
      </w:tabs>
      <w:outlineLvl w:val="1"/>
    </w:pPr>
    <w:rPr>
      <w:b/>
    </w:rPr>
  </w:style>
  <w:style w:type="character" w:customStyle="1" w:styleId="JUNAMES">
    <w:name w:val="JU_NAMES"/>
    <w:uiPriority w:val="17"/>
    <w:qFormat/>
    <w:rsid w:val="00987A64"/>
    <w:rPr>
      <w:caps w:val="0"/>
      <w:smallCaps/>
    </w:rPr>
  </w:style>
  <w:style w:type="character" w:customStyle="1" w:styleId="JuITMark">
    <w:name w:val="Ju_ITMark"/>
    <w:basedOn w:val="Carpredefinitoparagrafo"/>
    <w:uiPriority w:val="38"/>
    <w:qFormat/>
    <w:rsid w:val="00987A64"/>
    <w:rPr>
      <w:vanish w:val="0"/>
      <w:color w:val="auto"/>
      <w:sz w:val="14"/>
    </w:rPr>
  </w:style>
  <w:style w:type="paragraph" w:customStyle="1" w:styleId="OpiTranslation">
    <w:name w:val="Opi_Translation"/>
    <w:basedOn w:val="Normale"/>
    <w:next w:val="OpiPara"/>
    <w:uiPriority w:val="40"/>
    <w:qFormat/>
    <w:rsid w:val="00987A64"/>
    <w:pPr>
      <w:jc w:val="center"/>
      <w:outlineLvl w:val="0"/>
    </w:pPr>
    <w:rPr>
      <w:i/>
    </w:rPr>
  </w:style>
  <w:style w:type="paragraph" w:customStyle="1" w:styleId="JuCourt">
    <w:name w:val="Ju_Court"/>
    <w:basedOn w:val="Normale"/>
    <w:next w:val="Normale"/>
    <w:uiPriority w:val="16"/>
    <w:qFormat/>
    <w:rsid w:val="00987A64"/>
    <w:pPr>
      <w:tabs>
        <w:tab w:val="left" w:pos="907"/>
        <w:tab w:val="left" w:pos="1701"/>
        <w:tab w:val="right" w:pos="7371"/>
      </w:tabs>
      <w:spacing w:before="240"/>
      <w:ind w:left="397" w:hanging="397"/>
      <w:jc w:val="left"/>
    </w:pPr>
    <w:rPr>
      <w:lang w:bidi="en-US"/>
    </w:rPr>
  </w:style>
  <w:style w:type="paragraph" w:customStyle="1" w:styleId="ECHRHeading1">
    <w:name w:val="ECHR_Heading_1"/>
    <w:aliases w:val="Ju_H_I_Roman"/>
    <w:basedOn w:val="Titolo1"/>
    <w:next w:val="ECHRPara"/>
    <w:uiPriority w:val="19"/>
    <w:qFormat/>
    <w:rsid w:val="00987A64"/>
    <w:pPr>
      <w:keepNext/>
      <w:keepLines/>
      <w:tabs>
        <w:tab w:val="left" w:pos="357"/>
      </w:tabs>
      <w:spacing w:before="360" w:after="240"/>
      <w:ind w:left="357" w:hanging="357"/>
      <w:contextualSpacing w:val="0"/>
    </w:pPr>
    <w:rPr>
      <w:b w:val="0"/>
      <w:color w:val="auto"/>
      <w:sz w:val="24"/>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987A64"/>
    <w:pPr>
      <w:keepNext/>
      <w:keepLines/>
      <w:tabs>
        <w:tab w:val="left" w:pos="584"/>
      </w:tabs>
      <w:spacing w:before="360" w:after="240"/>
      <w:ind w:left="584" w:hanging="352"/>
    </w:pPr>
    <w:rPr>
      <w:color w:val="auto"/>
      <w:sz w:val="24"/>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987A64"/>
    <w:pPr>
      <w:keepNext/>
      <w:keepLines/>
      <w:tabs>
        <w:tab w:val="left" w:pos="731"/>
      </w:tabs>
      <w:spacing w:before="240" w:after="120" w:line="240" w:lineRule="auto"/>
      <w:ind w:left="732" w:hanging="301"/>
    </w:pPr>
    <w:rPr>
      <w:b w:val="0"/>
      <w:i/>
      <w:color w:val="auto"/>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987A64"/>
    <w:pPr>
      <w:keepNext/>
      <w:keepLines/>
      <w:tabs>
        <w:tab w:val="left" w:pos="975"/>
      </w:tabs>
      <w:spacing w:before="240" w:after="120"/>
      <w:ind w:left="975" w:hanging="340"/>
    </w:pPr>
    <w:rPr>
      <w:i w:val="0"/>
      <w:color w:val="auto"/>
      <w:sz w:val="20"/>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987A64"/>
    <w:pPr>
      <w:keepNext/>
      <w:keepLines/>
      <w:tabs>
        <w:tab w:val="left" w:pos="1191"/>
      </w:tabs>
      <w:spacing w:before="240" w:after="120"/>
      <w:ind w:left="1190" w:hanging="357"/>
    </w:pPr>
    <w:rPr>
      <w:b w:val="0"/>
      <w:i/>
      <w:color w:val="auto"/>
      <w:sz w:val="20"/>
    </w:rPr>
  </w:style>
  <w:style w:type="character" w:customStyle="1" w:styleId="Titolo5Carattere">
    <w:name w:val="Titolo 5 Carattere"/>
    <w:basedOn w:val="Carpredefinitoparagrafo"/>
    <w:link w:val="Titolo5"/>
    <w:uiPriority w:val="99"/>
    <w:semiHidden/>
    <w:rsid w:val="00987A64"/>
    <w:rPr>
      <w:rFonts w:asciiTheme="majorHAnsi" w:eastAsiaTheme="majorEastAsia" w:hAnsiTheme="majorHAnsi" w:cstheme="majorBidi"/>
      <w:b/>
      <w:bCs/>
      <w:color w:val="808080"/>
      <w:sz w:val="24"/>
    </w:rPr>
  </w:style>
  <w:style w:type="paragraph" w:customStyle="1" w:styleId="ECHRHeading6">
    <w:name w:val="ECHR_Heading_6"/>
    <w:aliases w:val="Ju_H_alpha"/>
    <w:basedOn w:val="Titolo6"/>
    <w:next w:val="ECHRPara"/>
    <w:uiPriority w:val="24"/>
    <w:qFormat/>
    <w:rsid w:val="00987A64"/>
    <w:pPr>
      <w:keepNext/>
      <w:keepLines/>
      <w:tabs>
        <w:tab w:val="left" w:pos="1372"/>
      </w:tabs>
      <w:spacing w:before="240" w:after="120" w:line="240" w:lineRule="auto"/>
      <w:ind w:left="1373" w:hanging="335"/>
    </w:pPr>
    <w:rPr>
      <w:b w:val="0"/>
      <w:i w:val="0"/>
      <w:color w:val="auto"/>
      <w:sz w:val="20"/>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987A64"/>
    <w:pPr>
      <w:keepNext/>
      <w:keepLines/>
      <w:spacing w:before="240" w:after="120"/>
      <w:ind w:left="1236"/>
    </w:pPr>
    <w:rPr>
      <w:sz w:val="20"/>
    </w:rPr>
  </w:style>
  <w:style w:type="character" w:customStyle="1" w:styleId="Titolo7Carattere">
    <w:name w:val="Titolo 7 Carattere"/>
    <w:basedOn w:val="Carpredefinitoparagrafo"/>
    <w:link w:val="Titolo7"/>
    <w:uiPriority w:val="99"/>
    <w:semiHidden/>
    <w:rsid w:val="00987A64"/>
    <w:rPr>
      <w:rFonts w:asciiTheme="majorHAnsi" w:eastAsiaTheme="majorEastAsia" w:hAnsiTheme="majorHAnsi" w:cstheme="majorBidi"/>
      <w:i/>
      <w:iCs/>
      <w:sz w:val="24"/>
      <w:lang w:bidi="en-US"/>
    </w:rPr>
  </w:style>
  <w:style w:type="paragraph" w:customStyle="1" w:styleId="JuParaLast">
    <w:name w:val="Ju_Para_Last"/>
    <w:basedOn w:val="Normale"/>
    <w:next w:val="ECHRPara"/>
    <w:uiPriority w:val="30"/>
    <w:qFormat/>
    <w:rsid w:val="00987A64"/>
    <w:pPr>
      <w:keepNext/>
      <w:keepLines/>
      <w:spacing w:before="240"/>
      <w:ind w:firstLine="284"/>
    </w:pPr>
  </w:style>
  <w:style w:type="paragraph" w:customStyle="1" w:styleId="DecList">
    <w:name w:val="Dec_List"/>
    <w:basedOn w:val="Normale"/>
    <w:uiPriority w:val="9"/>
    <w:qFormat/>
    <w:rsid w:val="00987A64"/>
    <w:pPr>
      <w:spacing w:before="240"/>
      <w:ind w:left="284"/>
    </w:pPr>
  </w:style>
  <w:style w:type="paragraph" w:customStyle="1" w:styleId="ECHRDecisionBody">
    <w:name w:val="ECHR_Decision_Body"/>
    <w:aliases w:val="Ju_Judges"/>
    <w:basedOn w:val="Normale"/>
    <w:uiPriority w:val="11"/>
    <w:qFormat/>
    <w:rsid w:val="00987A64"/>
    <w:pPr>
      <w:tabs>
        <w:tab w:val="left" w:pos="567"/>
        <w:tab w:val="left" w:pos="1134"/>
      </w:tabs>
      <w:jc w:val="left"/>
    </w:pPr>
  </w:style>
  <w:style w:type="paragraph" w:customStyle="1" w:styleId="JuList">
    <w:name w:val="Ju_List"/>
    <w:basedOn w:val="Normale"/>
    <w:uiPriority w:val="28"/>
    <w:qFormat/>
    <w:rsid w:val="00987A64"/>
    <w:pPr>
      <w:ind w:left="340" w:hanging="340"/>
    </w:pPr>
  </w:style>
  <w:style w:type="paragraph" w:customStyle="1" w:styleId="JuLista">
    <w:name w:val="Ju_List_a"/>
    <w:basedOn w:val="JuList"/>
    <w:uiPriority w:val="28"/>
    <w:qFormat/>
    <w:rsid w:val="00987A64"/>
    <w:pPr>
      <w:ind w:left="346" w:firstLine="0"/>
    </w:pPr>
  </w:style>
  <w:style w:type="paragraph" w:customStyle="1" w:styleId="JuListi">
    <w:name w:val="Ju_List_i"/>
    <w:basedOn w:val="Normale"/>
    <w:next w:val="JuLista"/>
    <w:uiPriority w:val="28"/>
    <w:qFormat/>
    <w:rsid w:val="00987A64"/>
    <w:pPr>
      <w:ind w:left="794"/>
    </w:pPr>
  </w:style>
  <w:style w:type="paragraph" w:customStyle="1" w:styleId="OpiH1">
    <w:name w:val="Opi_H_1"/>
    <w:basedOn w:val="ECHRHeading2"/>
    <w:uiPriority w:val="42"/>
    <w:qFormat/>
    <w:rsid w:val="00987A64"/>
    <w:pPr>
      <w:ind w:left="635" w:hanging="357"/>
      <w:outlineLvl w:val="2"/>
    </w:pPr>
  </w:style>
  <w:style w:type="paragraph" w:customStyle="1" w:styleId="OpiHa0">
    <w:name w:val="Opi_H_a"/>
    <w:basedOn w:val="ECHRHeading3"/>
    <w:uiPriority w:val="43"/>
    <w:qFormat/>
    <w:rsid w:val="00987A64"/>
    <w:pPr>
      <w:ind w:left="833" w:hanging="357"/>
      <w:outlineLvl w:val="3"/>
    </w:pPr>
    <w:rPr>
      <w:b/>
      <w:i w:val="0"/>
      <w:sz w:val="20"/>
    </w:rPr>
  </w:style>
  <w:style w:type="paragraph" w:customStyle="1" w:styleId="OpiHi">
    <w:name w:val="Opi_H_i"/>
    <w:basedOn w:val="ECHRHeading4"/>
    <w:uiPriority w:val="44"/>
    <w:qFormat/>
    <w:rsid w:val="00987A64"/>
    <w:pPr>
      <w:ind w:left="1037" w:hanging="357"/>
      <w:outlineLvl w:val="4"/>
    </w:pPr>
    <w:rPr>
      <w:b w:val="0"/>
      <w:i/>
    </w:rPr>
  </w:style>
  <w:style w:type="character" w:customStyle="1" w:styleId="Titolo8Carattere">
    <w:name w:val="Titolo 8 Carattere"/>
    <w:basedOn w:val="Carpredefinitoparagrafo"/>
    <w:link w:val="Titolo8"/>
    <w:uiPriority w:val="99"/>
    <w:semiHidden/>
    <w:rsid w:val="00987A64"/>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987A64"/>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987A64"/>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987A64"/>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987A64"/>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987A64"/>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987A64"/>
    <w:rPr>
      <w:b/>
      <w:bCs/>
    </w:rPr>
  </w:style>
  <w:style w:type="character" w:styleId="Enfasicorsivo">
    <w:name w:val="Emphasis"/>
    <w:uiPriority w:val="99"/>
    <w:semiHidden/>
    <w:qFormat/>
    <w:rsid w:val="00987A64"/>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987A64"/>
  </w:style>
  <w:style w:type="character" w:customStyle="1" w:styleId="NessunaspaziaturaCarattere">
    <w:name w:val="Nessuna spaziatura Carattere"/>
    <w:basedOn w:val="Carpredefinitoparagrafo"/>
    <w:link w:val="Nessunaspaziatura"/>
    <w:semiHidden/>
    <w:rsid w:val="00987A64"/>
    <w:rPr>
      <w:rFonts w:eastAsiaTheme="minorEastAsia"/>
      <w:sz w:val="24"/>
    </w:rPr>
  </w:style>
  <w:style w:type="paragraph" w:styleId="Paragrafoelenco">
    <w:name w:val="List Paragraph"/>
    <w:basedOn w:val="Normale"/>
    <w:uiPriority w:val="99"/>
    <w:semiHidden/>
    <w:qFormat/>
    <w:rsid w:val="00987A64"/>
    <w:pPr>
      <w:ind w:left="720"/>
      <w:contextualSpacing/>
    </w:pPr>
  </w:style>
  <w:style w:type="paragraph" w:styleId="Citazione">
    <w:name w:val="Quote"/>
    <w:basedOn w:val="Normale"/>
    <w:next w:val="Normale"/>
    <w:link w:val="CitazioneCarattere"/>
    <w:uiPriority w:val="99"/>
    <w:semiHidden/>
    <w:qFormat/>
    <w:rsid w:val="00987A64"/>
    <w:pPr>
      <w:spacing w:before="200"/>
      <w:ind w:left="360" w:right="360"/>
    </w:pPr>
    <w:rPr>
      <w:i/>
      <w:iCs/>
      <w:lang w:bidi="en-US"/>
    </w:rPr>
  </w:style>
  <w:style w:type="character" w:customStyle="1" w:styleId="CitazioneCarattere">
    <w:name w:val="Citazione Carattere"/>
    <w:basedOn w:val="Carpredefinitoparagrafo"/>
    <w:link w:val="Citazione"/>
    <w:uiPriority w:val="99"/>
    <w:semiHidden/>
    <w:rsid w:val="00987A64"/>
    <w:rPr>
      <w:rFonts w:eastAsiaTheme="minorEastAsia"/>
      <w:i/>
      <w:iCs/>
      <w:sz w:val="24"/>
      <w:lang w:bidi="en-US"/>
    </w:rPr>
  </w:style>
  <w:style w:type="paragraph" w:styleId="Citazioneintensa">
    <w:name w:val="Intense Quote"/>
    <w:basedOn w:val="Normale"/>
    <w:next w:val="Normale"/>
    <w:link w:val="CitazioneintensaCarattere"/>
    <w:uiPriority w:val="99"/>
    <w:semiHidden/>
    <w:qFormat/>
    <w:rsid w:val="00987A64"/>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9"/>
    <w:semiHidden/>
    <w:rsid w:val="00987A64"/>
    <w:rPr>
      <w:rFonts w:eastAsiaTheme="minorEastAsia"/>
      <w:b/>
      <w:bCs/>
      <w:i/>
      <w:iCs/>
      <w:sz w:val="24"/>
      <w:lang w:bidi="en-US"/>
    </w:rPr>
  </w:style>
  <w:style w:type="character" w:styleId="Enfasidelicata">
    <w:name w:val="Subtle Emphasis"/>
    <w:uiPriority w:val="99"/>
    <w:semiHidden/>
    <w:qFormat/>
    <w:rsid w:val="00987A64"/>
    <w:rPr>
      <w:i/>
      <w:iCs/>
    </w:rPr>
  </w:style>
  <w:style w:type="character" w:styleId="Enfasiintensa">
    <w:name w:val="Intense Emphasis"/>
    <w:uiPriority w:val="99"/>
    <w:semiHidden/>
    <w:qFormat/>
    <w:rsid w:val="00987A64"/>
    <w:rPr>
      <w:b/>
      <w:bCs/>
    </w:rPr>
  </w:style>
  <w:style w:type="character" w:styleId="Riferimentodelicato">
    <w:name w:val="Subtle Reference"/>
    <w:uiPriority w:val="99"/>
    <w:semiHidden/>
    <w:qFormat/>
    <w:rsid w:val="00987A64"/>
    <w:rPr>
      <w:smallCaps/>
    </w:rPr>
  </w:style>
  <w:style w:type="character" w:styleId="Riferimentointenso">
    <w:name w:val="Intense Reference"/>
    <w:uiPriority w:val="99"/>
    <w:semiHidden/>
    <w:qFormat/>
    <w:rsid w:val="00987A64"/>
    <w:rPr>
      <w:smallCaps/>
      <w:spacing w:val="5"/>
      <w:u w:val="single"/>
    </w:rPr>
  </w:style>
  <w:style w:type="character" w:styleId="Titolodellibro">
    <w:name w:val="Book Title"/>
    <w:uiPriority w:val="99"/>
    <w:semiHidden/>
    <w:qFormat/>
    <w:rsid w:val="00987A64"/>
    <w:rPr>
      <w:i/>
      <w:iCs/>
      <w:smallCaps/>
      <w:spacing w:val="5"/>
    </w:rPr>
  </w:style>
  <w:style w:type="paragraph" w:styleId="Titolosommario">
    <w:name w:val="TOC Heading"/>
    <w:basedOn w:val="Normale"/>
    <w:next w:val="Normale"/>
    <w:uiPriority w:val="99"/>
    <w:semiHidden/>
    <w:qFormat/>
    <w:rsid w:val="00987A64"/>
    <w:pPr>
      <w:keepNext/>
      <w:keepLines/>
      <w:spacing w:before="240"/>
      <w:contextualSpacing/>
      <w:jc w:val="center"/>
    </w:pPr>
    <w:rPr>
      <w:rFonts w:asciiTheme="majorHAnsi" w:eastAsiaTheme="minorHAnsi" w:hAnsiTheme="majorHAnsi"/>
      <w:b/>
      <w:color w:val="474747" w:themeColor="accent3" w:themeShade="BF"/>
      <w:sz w:val="28"/>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987A64"/>
    <w:rPr>
      <w:color w:val="00B050"/>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basedOn w:val="Normale"/>
    <w:next w:val="ECHRPara"/>
    <w:uiPriority w:val="10"/>
    <w:rsid w:val="00987A64"/>
    <w:pPr>
      <w:ind w:firstLine="284"/>
    </w:pPr>
    <w:rPr>
      <w:b/>
    </w:rPr>
  </w:style>
  <w:style w:type="paragraph" w:customStyle="1" w:styleId="JuHeaderLandscape">
    <w:name w:val="Ju_Header_Landscape"/>
    <w:basedOn w:val="ECHRHeader"/>
    <w:uiPriority w:val="4"/>
    <w:qFormat/>
    <w:rsid w:val="00987A64"/>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D362FA"/>
    <w:rPr>
      <w:rFonts w:eastAsiaTheme="minorEastAsia"/>
      <w:sz w:val="24"/>
    </w:rPr>
  </w:style>
  <w:style w:type="character" w:customStyle="1" w:styleId="CLLItalic">
    <w:name w:val="CLL_Italic"/>
    <w:basedOn w:val="Carpredefinitoparagrafo"/>
    <w:uiPriority w:val="1"/>
    <w:rsid w:val="00D362FA"/>
    <w:rPr>
      <w:i/>
      <w:iCs/>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CF8B4D-9E12-48B3-B136-5FFA193E7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BBDFD3-A6C7-4F55-A27A-032B23925D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1BD563-A8DF-4EC6-9E1F-320539204A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13273</Characters>
  <Application>Microsoft Office Word</Application>
  <DocSecurity>0</DocSecurity>
  <Lines>110</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15570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2017-06-23T09:40:00Z</dcterms:created>
  <dcterms:modified xsi:type="dcterms:W3CDTF">2017-06-23T09:40:00Z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46141/12</vt:lpwstr>
  </property>
  <property fmtid="{D5CDD505-2E9C-101B-9397-08002B2CF9AE}" pid="4" name="CASEID">
    <vt:lpwstr>814809</vt:lpwstr>
  </property>
  <property fmtid="{D5CDD505-2E9C-101B-9397-08002B2CF9AE}" pid="5" name="ContentTypeId">
    <vt:lpwstr>0x010100558EB02BDB9E204AB350EDD385B68E10</vt:lpwstr>
  </property>
</Properties>
</file>